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DBD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1E1DBD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1E1DBD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1E1DBD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1E1DBD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1E1DBD" w:rsidP="00E62D87">
      <w:r w:rsidRPr="001E1DBD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12.8pt;width:333pt;height:66.4pt;z-index:-251655168" strokecolor="#c00000">
            <v:textbox style="mso-next-textbox:#_x0000_s1027">
              <w:txbxContent>
                <w:p w:rsidR="00CE1A32" w:rsidRDefault="00CE1A32" w:rsidP="00CE1A32">
                  <w:pPr>
                    <w:spacing w:after="0" w:line="360" w:lineRule="auto"/>
                    <w:ind w:left="360"/>
                    <w:jc w:val="center"/>
                    <w:rPr>
                      <w:rFonts w:ascii="Constantia" w:eastAsia="Times New Roman" w:hAnsi="Constantia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1A32">
                    <w:rPr>
                      <w:rFonts w:ascii="Constantia" w:eastAsia="Times New Roman" w:hAnsi="Constantia" w:cs="Times New Roman"/>
                      <w:b/>
                      <w:color w:val="000000" w:themeColor="text1"/>
                      <w:sz w:val="24"/>
                      <w:szCs w:val="24"/>
                    </w:rPr>
                    <w:t>LE RECOUVREMENT   DES   CREANCES IMPAYE</w:t>
                  </w:r>
                  <w:r w:rsidR="003C268F">
                    <w:rPr>
                      <w:rFonts w:ascii="Constantia" w:eastAsia="Times New Roman" w:hAnsi="Constantia" w:cs="Times New Roman"/>
                      <w:b/>
                      <w:color w:val="000000" w:themeColor="text1"/>
                      <w:sz w:val="24"/>
                      <w:szCs w:val="24"/>
                    </w:rPr>
                    <w:t>E</w:t>
                  </w:r>
                  <w:r w:rsidRPr="00CE1A32">
                    <w:rPr>
                      <w:rFonts w:ascii="Constantia" w:eastAsia="Times New Roman" w:hAnsi="Constantia" w:cs="Times New Roman"/>
                      <w:b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  <w:p w:rsidR="00CE1A32" w:rsidRPr="00CE1A32" w:rsidRDefault="00CE1A32" w:rsidP="00CE1A32">
                  <w:pPr>
                    <w:spacing w:after="0" w:line="360" w:lineRule="auto"/>
                    <w:ind w:left="360"/>
                    <w:jc w:val="center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54DA6">
                    <w:rPr>
                      <w:rFonts w:ascii="Constantia" w:eastAsia="Times New Roman" w:hAnsi="Constantia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Le : </w:t>
                  </w:r>
                  <w:r w:rsidRPr="00754DA6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17/18/19</w:t>
                  </w:r>
                  <w:r w:rsidR="00754DA6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Décembre 2018</w:t>
                  </w:r>
                </w:p>
                <w:p w:rsidR="00AA4266" w:rsidRDefault="00AA4266" w:rsidP="00CE1A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1E1DBD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1E1DBD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7.15pt;width:94.5pt;height:25.5pt;z-index:251660288">
            <v:textbox style="mso-next-textbox:#_x0000_s1026">
              <w:txbxContent>
                <w:p w:rsidR="00CE1A32" w:rsidRPr="006D78AF" w:rsidRDefault="00CE1A32" w:rsidP="00CE1A32">
                  <w:pPr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6D78AF">
                    <w:rPr>
                      <w:rFonts w:eastAsiaTheme="minorHAnsi"/>
                      <w:color w:val="FF0000"/>
                      <w:sz w:val="24"/>
                      <w:szCs w:val="24"/>
                      <w:lang w:eastAsia="en-US"/>
                    </w:rPr>
                    <w:t>Durée :</w:t>
                  </w:r>
                  <w:r w:rsidRPr="006D78AF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3 jours</w:t>
                  </w:r>
                </w:p>
                <w:p w:rsidR="00F329C1" w:rsidRPr="002D7D19" w:rsidRDefault="00F329C1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754DA6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754DA6" w:rsidRPr="00B92C1B" w:rsidRDefault="00754DA6" w:rsidP="00754DA6">
      <w:pPr>
        <w:pStyle w:val="Paragraphedeliste"/>
        <w:numPr>
          <w:ilvl w:val="0"/>
          <w:numId w:val="17"/>
        </w:numPr>
        <w:spacing w:after="0" w:line="240" w:lineRule="auto"/>
        <w:rPr>
          <w:rFonts w:ascii="Constantia" w:eastAsia="Times New Roman" w:hAnsi="Constantia" w:cs="Arial"/>
          <w:sz w:val="28"/>
          <w:szCs w:val="28"/>
        </w:rPr>
      </w:pPr>
      <w:r w:rsidRPr="00B92C1B">
        <w:rPr>
          <w:rFonts w:ascii="Constantia" w:eastAsia="Times New Roman" w:hAnsi="Constantia" w:cs="Arial"/>
          <w:sz w:val="28"/>
          <w:szCs w:val="28"/>
        </w:rPr>
        <w:t xml:space="preserve">Gérer efficacement les créances courantes et impayées.                                                                                               </w:t>
      </w:r>
    </w:p>
    <w:p w:rsidR="00754DA6" w:rsidRPr="00B92C1B" w:rsidRDefault="00754DA6" w:rsidP="00754DA6">
      <w:pPr>
        <w:pStyle w:val="Paragraphedeliste"/>
        <w:numPr>
          <w:ilvl w:val="0"/>
          <w:numId w:val="17"/>
        </w:numPr>
        <w:spacing w:after="0" w:line="240" w:lineRule="auto"/>
        <w:rPr>
          <w:rFonts w:ascii="Constantia" w:eastAsia="Times New Roman" w:hAnsi="Constantia" w:cs="Arial"/>
          <w:sz w:val="28"/>
          <w:szCs w:val="28"/>
        </w:rPr>
      </w:pPr>
      <w:r w:rsidRPr="00B92C1B">
        <w:rPr>
          <w:rFonts w:ascii="Constantia" w:eastAsia="Times New Roman" w:hAnsi="Constantia" w:cs="Arial"/>
          <w:sz w:val="28"/>
          <w:szCs w:val="28"/>
        </w:rPr>
        <w:t>Procéder au recouvrement des créances impayées selon les procédures règlementaires.</w:t>
      </w:r>
    </w:p>
    <w:p w:rsidR="00754DA6" w:rsidRPr="00B92C1B" w:rsidRDefault="00754DA6" w:rsidP="00754DA6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nstantia" w:eastAsia="Times New Roman" w:hAnsi="Constantia" w:cs="Arial"/>
          <w:sz w:val="28"/>
          <w:szCs w:val="28"/>
        </w:rPr>
      </w:pPr>
      <w:r w:rsidRPr="00B92C1B">
        <w:rPr>
          <w:rFonts w:ascii="Constantia" w:eastAsia="Times New Roman" w:hAnsi="Constantia" w:cs="Arial"/>
          <w:sz w:val="28"/>
          <w:szCs w:val="28"/>
        </w:rPr>
        <w:t>Recouvrer les créances impayées</w:t>
      </w:r>
    </w:p>
    <w:p w:rsidR="00754DA6" w:rsidRPr="00B92C1B" w:rsidRDefault="00754DA6" w:rsidP="00754DA6">
      <w:pPr>
        <w:tabs>
          <w:tab w:val="left" w:pos="-284"/>
        </w:tabs>
        <w:ind w:left="360"/>
        <w:jc w:val="both"/>
        <w:rPr>
          <w:rFonts w:ascii="Constantia" w:hAnsi="Constantia"/>
          <w:b/>
          <w:sz w:val="16"/>
          <w:szCs w:val="16"/>
        </w:rPr>
      </w:pPr>
    </w:p>
    <w:p w:rsidR="00754DA6" w:rsidRPr="00B92C1B" w:rsidRDefault="00754DA6" w:rsidP="00754DA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Constantia" w:hAnsi="Constantia"/>
          <w:sz w:val="28"/>
        </w:rPr>
      </w:pPr>
      <w:r w:rsidRPr="00B92C1B">
        <w:rPr>
          <w:rFonts w:ascii="Constantia" w:hAnsi="Constantia"/>
          <w:sz w:val="28"/>
        </w:rPr>
        <w:t>Mettre en place les outils nécessaires pour atteindre l’efficacité dans le recouvrement des créances.</w:t>
      </w:r>
    </w:p>
    <w:p w:rsidR="00754DA6" w:rsidRPr="00B92C1B" w:rsidRDefault="00754DA6" w:rsidP="00754DA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Constantia" w:hAnsi="Constantia"/>
          <w:sz w:val="28"/>
        </w:rPr>
      </w:pPr>
      <w:r w:rsidRPr="00B92C1B">
        <w:rPr>
          <w:rFonts w:ascii="Constantia" w:hAnsi="Constantia"/>
          <w:sz w:val="28"/>
        </w:rPr>
        <w:t>Eviter à l’entreprise des frais de poursuite judiciaire en privilégiant la procédure amiable.</w:t>
      </w:r>
    </w:p>
    <w:p w:rsidR="00754DA6" w:rsidRPr="00B92C1B" w:rsidRDefault="00754DA6" w:rsidP="00754DA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Constantia" w:hAnsi="Constantia"/>
          <w:sz w:val="28"/>
        </w:rPr>
      </w:pPr>
      <w:r w:rsidRPr="00B92C1B">
        <w:rPr>
          <w:rFonts w:ascii="Constantia" w:hAnsi="Constantia"/>
          <w:sz w:val="28"/>
        </w:rPr>
        <w:t>Garantir l’efficacité des gestionnaires dans la gestion du portefeuille.</w:t>
      </w:r>
    </w:p>
    <w:p w:rsidR="00754DA6" w:rsidRPr="00B92C1B" w:rsidRDefault="00754DA6" w:rsidP="00754DA6">
      <w:pPr>
        <w:spacing w:line="360" w:lineRule="auto"/>
        <w:rPr>
          <w:rFonts w:ascii="Constantia" w:hAnsi="Constantia"/>
          <w:sz w:val="28"/>
          <w:szCs w:val="28"/>
        </w:rPr>
      </w:pPr>
    </w:p>
    <w:p w:rsidR="00754DA6" w:rsidRPr="00BC10F2" w:rsidRDefault="00754DA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25FA6" w:rsidRPr="00754DA6" w:rsidRDefault="00AA4266" w:rsidP="00754DA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92C1B" w:rsidRPr="00B92C1B" w:rsidRDefault="00B92C1B" w:rsidP="00B92C1B">
      <w:pPr>
        <w:pStyle w:val="Paragraphedeliste"/>
        <w:widowControl w:val="0"/>
        <w:numPr>
          <w:ilvl w:val="0"/>
          <w:numId w:val="17"/>
        </w:numPr>
        <w:tabs>
          <w:tab w:val="left" w:pos="1211"/>
        </w:tabs>
        <w:autoSpaceDE w:val="0"/>
        <w:autoSpaceDN w:val="0"/>
        <w:adjustRightInd w:val="0"/>
        <w:jc w:val="both"/>
        <w:rPr>
          <w:rFonts w:ascii="Constantia" w:hAnsi="Constantia"/>
          <w:sz w:val="26"/>
          <w:szCs w:val="26"/>
        </w:rPr>
      </w:pPr>
      <w:r w:rsidRPr="00B92C1B">
        <w:rPr>
          <w:rFonts w:ascii="Constantia" w:hAnsi="Constantia"/>
          <w:sz w:val="26"/>
          <w:szCs w:val="26"/>
        </w:rPr>
        <w:t xml:space="preserve">chargés </w:t>
      </w:r>
      <w:r w:rsidRPr="00B92C1B">
        <w:rPr>
          <w:rFonts w:ascii="Constantia" w:hAnsi="Constantia" w:cs="Arial"/>
          <w:sz w:val="26"/>
          <w:szCs w:val="26"/>
        </w:rPr>
        <w:t xml:space="preserve"> de recouvrement ;  </w:t>
      </w:r>
      <w:r w:rsidRPr="00B92C1B">
        <w:rPr>
          <w:rFonts w:ascii="Constantia" w:eastAsia="Times New Roman" w:hAnsi="Constantia" w:cs="Arial"/>
          <w:sz w:val="26"/>
          <w:szCs w:val="26"/>
        </w:rPr>
        <w:t>Agents de recouvrement </w:t>
      </w:r>
      <w:r w:rsidRPr="00B92C1B">
        <w:rPr>
          <w:rFonts w:ascii="Constantia" w:hAnsi="Constantia"/>
          <w:sz w:val="26"/>
          <w:szCs w:val="26"/>
        </w:rPr>
        <w:t xml:space="preserve">; </w:t>
      </w:r>
      <w:r w:rsidRPr="00B92C1B">
        <w:rPr>
          <w:rFonts w:ascii="Constantia" w:hAnsi="Constantia"/>
          <w:sz w:val="28"/>
          <w:szCs w:val="28"/>
        </w:rPr>
        <w:t>Commerciaux  et financiers en charge de la gestion du portefeuille des créances impayées et juristes chargés du recouvrement par voie judiciaire</w:t>
      </w:r>
    </w:p>
    <w:p w:rsidR="00B92C1B" w:rsidRPr="00B92C1B" w:rsidRDefault="00B92C1B" w:rsidP="00B92C1B">
      <w:pPr>
        <w:pStyle w:val="Paragraphedeliste"/>
        <w:widowControl w:val="0"/>
        <w:tabs>
          <w:tab w:val="left" w:pos="1211"/>
        </w:tabs>
        <w:autoSpaceDE w:val="0"/>
        <w:autoSpaceDN w:val="0"/>
        <w:adjustRightInd w:val="0"/>
        <w:jc w:val="both"/>
        <w:rPr>
          <w:rFonts w:ascii="Constantia" w:hAnsi="Constantia"/>
          <w:color w:val="7030A0"/>
          <w:sz w:val="26"/>
          <w:szCs w:val="26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B92C1B" w:rsidRDefault="00B92C1B" w:rsidP="00B92C1B">
      <w:pPr>
        <w:pStyle w:val="Paragraphedeliste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B92C1B" w:rsidRPr="00C222A1" w:rsidRDefault="00B92C1B" w:rsidP="00B92C1B">
      <w:pPr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i/>
          <w:iCs/>
          <w:sz w:val="26"/>
          <w:szCs w:val="26"/>
        </w:rPr>
      </w:pPr>
      <w:r w:rsidRPr="00C222A1">
        <w:rPr>
          <w:rFonts w:ascii="Constantia" w:hAnsi="Constantia"/>
          <w:i/>
          <w:iCs/>
          <w:sz w:val="28"/>
          <w:szCs w:val="28"/>
        </w:rPr>
        <w:t>Selon les principes et les caractéristiques de l’andragogie (pédagogie adaptée à l’adulte en formation)</w:t>
      </w:r>
    </w:p>
    <w:p w:rsidR="00B92C1B" w:rsidRPr="00C222A1" w:rsidRDefault="00B92C1B" w:rsidP="00B92C1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i/>
          <w:iCs/>
          <w:sz w:val="26"/>
          <w:szCs w:val="26"/>
        </w:rPr>
      </w:pPr>
      <w:r w:rsidRPr="00C222A1">
        <w:rPr>
          <w:rFonts w:ascii="Constantia" w:hAnsi="Constantia"/>
          <w:i/>
          <w:iCs/>
          <w:sz w:val="26"/>
          <w:szCs w:val="26"/>
        </w:rPr>
        <w:t xml:space="preserve">Apport théorique en salle de cours ; </w:t>
      </w:r>
    </w:p>
    <w:p w:rsidR="00B92C1B" w:rsidRPr="00C222A1" w:rsidRDefault="00B92C1B" w:rsidP="00B92C1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i/>
          <w:iCs/>
          <w:sz w:val="26"/>
          <w:szCs w:val="26"/>
        </w:rPr>
      </w:pPr>
      <w:r w:rsidRPr="00C222A1">
        <w:rPr>
          <w:rFonts w:ascii="Constantia" w:hAnsi="Constantia"/>
          <w:i/>
          <w:iCs/>
          <w:sz w:val="26"/>
          <w:szCs w:val="26"/>
        </w:rPr>
        <w:t>Support de cours ;</w:t>
      </w:r>
    </w:p>
    <w:p w:rsidR="00B92C1B" w:rsidRPr="00C222A1" w:rsidRDefault="00B92C1B" w:rsidP="00B92C1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i/>
          <w:iCs/>
          <w:sz w:val="26"/>
          <w:szCs w:val="26"/>
        </w:rPr>
      </w:pPr>
      <w:r w:rsidRPr="00C222A1">
        <w:rPr>
          <w:rFonts w:ascii="Constantia" w:hAnsi="Constantia"/>
          <w:i/>
          <w:iCs/>
          <w:sz w:val="26"/>
          <w:szCs w:val="26"/>
        </w:rPr>
        <w:t>Démonstration pratique adapté.</w:t>
      </w:r>
    </w:p>
    <w:p w:rsidR="00B92C1B" w:rsidRPr="00C222A1" w:rsidRDefault="00B92C1B" w:rsidP="00B92C1B">
      <w:pPr>
        <w:rPr>
          <w:rFonts w:ascii="Constantia" w:hAnsi="Constantia"/>
        </w:rPr>
      </w:pPr>
    </w:p>
    <w:p w:rsidR="00B92C1B" w:rsidRPr="00C222A1" w:rsidRDefault="00B92C1B" w:rsidP="00B92C1B">
      <w:pPr>
        <w:tabs>
          <w:tab w:val="left" w:pos="1503"/>
        </w:tabs>
        <w:rPr>
          <w:rFonts w:ascii="Constantia" w:hAnsi="Constantia"/>
          <w:lang w:eastAsia="en-US"/>
        </w:rPr>
      </w:pPr>
    </w:p>
    <w:p w:rsidR="007528F4" w:rsidRPr="00B92C1B" w:rsidRDefault="007528F4" w:rsidP="00B92C1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Pr="00B92C1B" w:rsidRDefault="007528F4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92C1B">
        <w:rPr>
          <w:rFonts w:asciiTheme="majorHAnsi" w:hAnsiTheme="majorHAnsi"/>
          <w:b/>
          <w:bCs/>
          <w:sz w:val="24"/>
          <w:szCs w:val="24"/>
          <w:u w:val="single"/>
        </w:rPr>
        <w:t>Animateur</w:t>
      </w:r>
      <w:r w:rsidR="00B92C1B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:rsidR="00B92C1B" w:rsidRDefault="00B92C1B" w:rsidP="00B92C1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B92C1B" w:rsidRDefault="00B92C1B" w:rsidP="00B92C1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Salem HAMOUD </w:t>
      </w:r>
    </w:p>
    <w:p w:rsidR="007528F4" w:rsidRDefault="00B92C1B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Consultant Formateur</w:t>
      </w:r>
    </w:p>
    <w:p w:rsidR="00B92C1B" w:rsidRDefault="00B92C1B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B92C1B" w:rsidRDefault="00B92C1B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635</wp:posOffset>
            </wp:positionV>
            <wp:extent cx="1533525" cy="447675"/>
            <wp:effectExtent l="0" t="0" r="0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C1B" w:rsidRP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62D87">
        <w:rPr>
          <w:rFonts w:asciiTheme="majorHAnsi" w:hAnsiTheme="majorHAnsi"/>
          <w:b/>
          <w:bCs/>
          <w:sz w:val="24"/>
          <w:szCs w:val="24"/>
          <w:u w:val="single"/>
        </w:rPr>
        <w:t>Coût de la Formation</w:t>
      </w:r>
      <w:r w:rsidRPr="00E62D87">
        <w:rPr>
          <w:rFonts w:asciiTheme="majorHAnsi" w:hAnsiTheme="majorHAnsi"/>
          <w:b/>
          <w:bCs/>
          <w:sz w:val="24"/>
          <w:szCs w:val="24"/>
        </w:rPr>
        <w:t xml:space="preserve"> : </w:t>
      </w:r>
    </w:p>
    <w:p w:rsidR="00B92C1B" w:rsidRPr="00E62D87" w:rsidRDefault="00B92C1B" w:rsidP="00B92C1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B92C1B" w:rsidRPr="00BA1E6B" w:rsidRDefault="00B92C1B" w:rsidP="00B92C1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 xml:space="preserve">Frais DZD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22.000,00 DZD HT /Jour/session </w:t>
      </w:r>
    </w:p>
    <w:p w:rsidR="00B92C1B" w:rsidRPr="00B63C8E" w:rsidRDefault="00B92C1B" w:rsidP="00B92C1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92C1B" w:rsidRPr="00B63C8E" w:rsidRDefault="00B92C1B" w:rsidP="00B92C1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>Annulation</w:t>
      </w:r>
      <w:r w:rsidRPr="00B63C8E">
        <w:rPr>
          <w:rFonts w:asciiTheme="majorHAnsi" w:hAnsiTheme="majorHAnsi"/>
          <w:b/>
          <w:bCs/>
          <w:sz w:val="24"/>
          <w:szCs w:val="24"/>
        </w:rPr>
        <w:t> :</w:t>
      </w:r>
    </w:p>
    <w:p w:rsidR="00B92C1B" w:rsidRPr="00E62D87" w:rsidRDefault="00B92C1B" w:rsidP="00B92C1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cours.</w:t>
      </w:r>
    </w:p>
    <w:p w:rsidR="00AA4266" w:rsidRDefault="00AA4266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rPr>
          <w:rFonts w:asciiTheme="majorHAnsi" w:hAnsiTheme="majorHAnsi"/>
          <w:sz w:val="24"/>
          <w:szCs w:val="24"/>
        </w:rPr>
      </w:pPr>
    </w:p>
    <w:p w:rsidR="00B92C1B" w:rsidRDefault="00B92C1B" w:rsidP="00B92C1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B92C1B" w:rsidRDefault="00B92C1B" w:rsidP="00B92C1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D60C24" w:rsidRPr="00F00672" w:rsidRDefault="00D60C24" w:rsidP="00B92C1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bookmarkStart w:id="0" w:name="_GoBack"/>
      <w:bookmarkEnd w:id="0"/>
    </w:p>
    <w:p w:rsidR="00B92C1B" w:rsidRDefault="00B92C1B" w:rsidP="00B92C1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/>
          <w:bCs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b/>
          <w:bCs/>
          <w:i/>
          <w:iCs/>
          <w:color w:val="000000"/>
          <w:sz w:val="28"/>
          <w:szCs w:val="28"/>
        </w:rPr>
        <w:t>Les différentes phases de recouvrement :</w:t>
      </w:r>
    </w:p>
    <w:p w:rsidR="00D60C24" w:rsidRPr="00C222A1" w:rsidRDefault="00D60C24" w:rsidP="00D60C24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onstantia" w:eastAsia="Times New Roman" w:hAnsi="Constantia" w:cs="Arial"/>
          <w:i/>
          <w:iCs/>
          <w:sz w:val="26"/>
          <w:szCs w:val="26"/>
        </w:rPr>
      </w:pPr>
      <w:r w:rsidRPr="00C222A1">
        <w:rPr>
          <w:rFonts w:ascii="Constantia" w:eastAsia="Times New Roman" w:hAnsi="Constantia" w:cs="Arial"/>
          <w:i/>
          <w:iCs/>
          <w:sz w:val="26"/>
          <w:szCs w:val="26"/>
        </w:rPr>
        <w:t xml:space="preserve">Gestion pratique des créances  courantes et saines 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i/>
          <w:iCs/>
          <w:color w:val="000000"/>
          <w:sz w:val="28"/>
          <w:szCs w:val="28"/>
        </w:rPr>
        <w:t>Connaissance préalable de la typologie des clients débiteurs.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i/>
          <w:iCs/>
          <w:color w:val="000000"/>
          <w:sz w:val="28"/>
          <w:szCs w:val="28"/>
        </w:rPr>
        <w:t>Objectifs de l’Entreprise en matière de recouvrement.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rPr>
          <w:rFonts w:ascii="Constantia" w:hAnsi="Constantia" w:cs="Arial"/>
          <w:bCs/>
          <w:i/>
          <w:iCs/>
        </w:rPr>
      </w:pPr>
      <w:r w:rsidRPr="00C222A1">
        <w:rPr>
          <w:rFonts w:ascii="Constantia" w:hAnsi="Constantia" w:cs="Arial"/>
          <w:i/>
          <w:iCs/>
          <w:sz w:val="26"/>
          <w:szCs w:val="26"/>
        </w:rPr>
        <w:t>Gestion pratique des créances impayées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Fonts w:ascii="Constantia" w:hAnsi="Constantia" w:cs="Arial"/>
          <w:i/>
          <w:iCs/>
          <w:sz w:val="26"/>
          <w:szCs w:val="26"/>
        </w:rPr>
        <w:t>Le recouvrement amiable des créances impayées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/>
          <w:bCs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b/>
          <w:bCs/>
          <w:i/>
          <w:iCs/>
          <w:color w:val="000000"/>
          <w:sz w:val="28"/>
          <w:szCs w:val="28"/>
        </w:rPr>
        <w:t>La relance préventive :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i/>
          <w:iCs/>
          <w:color w:val="000000"/>
          <w:sz w:val="28"/>
          <w:szCs w:val="28"/>
        </w:rPr>
        <w:t>Rappeler au client les termes d’application du contrat.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i/>
          <w:iCs/>
          <w:color w:val="000000"/>
          <w:sz w:val="28"/>
          <w:szCs w:val="28"/>
        </w:rPr>
        <w:t>Privilégier la communication pour éviter les litiges.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Fonts w:ascii="Constantia" w:hAnsi="Constantia"/>
          <w:i/>
          <w:iCs/>
          <w:color w:val="000000"/>
          <w:sz w:val="28"/>
          <w:szCs w:val="28"/>
        </w:rPr>
        <w:t>Phases à réaliser avant échéance.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/>
          <w:i/>
          <w:iCs/>
          <w:sz w:val="28"/>
          <w:szCs w:val="28"/>
        </w:rPr>
      </w:pPr>
      <w:r w:rsidRPr="00C222A1">
        <w:rPr>
          <w:rFonts w:ascii="Constantia" w:hAnsi="Constantia"/>
          <w:b/>
          <w:i/>
          <w:iCs/>
          <w:sz w:val="28"/>
          <w:szCs w:val="28"/>
        </w:rPr>
        <w:t>La relance amiable :</w:t>
      </w:r>
    </w:p>
    <w:p w:rsidR="00D60C24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Cs/>
          <w:i/>
          <w:iCs/>
          <w:sz w:val="28"/>
          <w:szCs w:val="28"/>
        </w:rPr>
      </w:pPr>
      <w:r w:rsidRPr="00C222A1">
        <w:rPr>
          <w:rFonts w:ascii="Constantia" w:hAnsi="Constantia"/>
          <w:bCs/>
          <w:i/>
          <w:iCs/>
          <w:sz w:val="28"/>
          <w:szCs w:val="28"/>
        </w:rPr>
        <w:t>Identifier les difficultés de paiement.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Cs/>
          <w:i/>
          <w:iCs/>
          <w:sz w:val="28"/>
          <w:szCs w:val="28"/>
        </w:rPr>
      </w:pPr>
      <w:r w:rsidRPr="00C222A1">
        <w:rPr>
          <w:rFonts w:ascii="Constantia" w:hAnsi="Constantia"/>
          <w:bCs/>
          <w:i/>
          <w:iCs/>
          <w:sz w:val="28"/>
          <w:szCs w:val="28"/>
        </w:rPr>
        <w:t>Rester commercial dans son intervention.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Cs/>
          <w:i/>
          <w:iCs/>
          <w:sz w:val="28"/>
          <w:szCs w:val="28"/>
        </w:rPr>
      </w:pPr>
      <w:r w:rsidRPr="00C222A1">
        <w:rPr>
          <w:rFonts w:ascii="Constantia" w:hAnsi="Constantia"/>
          <w:bCs/>
          <w:i/>
          <w:iCs/>
          <w:sz w:val="28"/>
          <w:szCs w:val="28"/>
        </w:rPr>
        <w:t>Modifier les supports de relance pour rendre crédible la relance amiable.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/>
          <w:bCs/>
          <w:i/>
          <w:iCs/>
          <w:sz w:val="28"/>
          <w:szCs w:val="28"/>
        </w:rPr>
      </w:pPr>
      <w:r w:rsidRPr="00C222A1">
        <w:rPr>
          <w:rFonts w:ascii="Constantia" w:hAnsi="Constantia"/>
          <w:b/>
          <w:bCs/>
          <w:i/>
          <w:iCs/>
          <w:sz w:val="28"/>
          <w:szCs w:val="28"/>
        </w:rPr>
        <w:t>La relance précontentieuse :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sz w:val="28"/>
          <w:szCs w:val="28"/>
        </w:rPr>
      </w:pPr>
      <w:r w:rsidRPr="00C222A1">
        <w:rPr>
          <w:rFonts w:ascii="Constantia" w:hAnsi="Constantia"/>
          <w:i/>
          <w:iCs/>
          <w:sz w:val="28"/>
          <w:szCs w:val="28"/>
        </w:rPr>
        <w:t>Sommations et avertissements par Lettre recommandée avec menace de prise de mesures coercitives.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sz w:val="28"/>
          <w:szCs w:val="28"/>
        </w:rPr>
      </w:pPr>
      <w:r w:rsidRPr="00C222A1">
        <w:rPr>
          <w:rFonts w:ascii="Constantia" w:hAnsi="Constantia"/>
          <w:i/>
          <w:iCs/>
          <w:sz w:val="28"/>
          <w:szCs w:val="28"/>
        </w:rPr>
        <w:t>Menace de transmission des dossiers aux autorités judiciaires par huissier.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sz w:val="28"/>
          <w:szCs w:val="28"/>
        </w:rPr>
      </w:pPr>
      <w:r w:rsidRPr="00C222A1">
        <w:rPr>
          <w:rFonts w:ascii="Constantia" w:hAnsi="Constantia"/>
          <w:i/>
          <w:iCs/>
          <w:sz w:val="28"/>
          <w:szCs w:val="28"/>
        </w:rPr>
        <w:t>Relancer par mise en demeure adressée par huissier de justice.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sz w:val="28"/>
          <w:szCs w:val="28"/>
        </w:rPr>
      </w:pPr>
      <w:r w:rsidRPr="00C222A1">
        <w:rPr>
          <w:rFonts w:ascii="Constantia" w:hAnsi="Constantia"/>
          <w:i/>
          <w:iCs/>
          <w:sz w:val="28"/>
          <w:szCs w:val="28"/>
        </w:rPr>
        <w:t>Visite de la clientèle pour s’enquérir des intentions du débiteur.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b/>
          <w:bCs/>
          <w:i/>
          <w:iCs/>
          <w:sz w:val="28"/>
          <w:szCs w:val="28"/>
        </w:rPr>
      </w:pPr>
      <w:r w:rsidRPr="00C222A1">
        <w:rPr>
          <w:rFonts w:ascii="Constantia" w:hAnsi="Constantia"/>
          <w:b/>
          <w:bCs/>
          <w:i/>
          <w:iCs/>
          <w:sz w:val="28"/>
          <w:szCs w:val="28"/>
        </w:rPr>
        <w:t>L’efficacité du recouvrement passe par la prévention juridique et la gestion des ressources dédiées à ce recouvrement.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Fonts w:ascii="Constantia" w:hAnsi="Constantia"/>
          <w:i/>
          <w:iCs/>
          <w:sz w:val="28"/>
          <w:szCs w:val="28"/>
        </w:rPr>
      </w:pPr>
      <w:r w:rsidRPr="00C222A1">
        <w:rPr>
          <w:rFonts w:ascii="Constantia" w:hAnsi="Constantia"/>
          <w:i/>
          <w:iCs/>
          <w:sz w:val="28"/>
          <w:szCs w:val="28"/>
        </w:rPr>
        <w:t>Prévoir des documents-types comportant des clauses de nature à dissuader les débiteurs.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i/>
          <w:iCs/>
          <w:color w:val="000000"/>
          <w:sz w:val="28"/>
          <w:szCs w:val="28"/>
        </w:rPr>
        <w:t>Traitement des litiges :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Dans une optique de qualité : fréquence, délai de résolution.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lastRenderedPageBreak/>
        <w:t>Circulation de l’information entre tous les acteurs : assistance commerciale, ventes, comptabilité, production…..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Privilégier le traitement par application de la loi de Pareto : gros montants, mauvais payeurs, secteurs d’activité à risque.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Privilégier la démarche commerciale : faire signer un accord d’engagement.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i/>
          <w:iCs/>
          <w:color w:val="000000"/>
          <w:sz w:val="28"/>
          <w:szCs w:val="28"/>
        </w:rPr>
        <w:t>Que faire si l’amiable n’a pas suffi ?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Négocier un moratoire : engagement écrit avec délai court.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Entamer une procédure contentieuse : mesures conservatoires.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Opter pour une procédure simple : injonction de paiement.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i/>
          <w:iCs/>
          <w:color w:val="000000"/>
          <w:sz w:val="28"/>
          <w:szCs w:val="28"/>
        </w:rPr>
        <w:t>Dans quels cas faire appel à la sous-traitance ?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Avoir les moyens.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Est-ce pertinent pour l’avenir de l’Entreprise ?</w:t>
      </w:r>
    </w:p>
    <w:p w:rsidR="00D60C24" w:rsidRPr="00C222A1" w:rsidRDefault="00D60C24" w:rsidP="00D60C24">
      <w:pPr>
        <w:pStyle w:val="Paragraphedeliste"/>
        <w:spacing w:line="360" w:lineRule="auto"/>
        <w:ind w:left="0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Comparer le coût et l’efficacité de la sous-traitance par rapport aux valeurs internes.</w:t>
      </w:r>
    </w:p>
    <w:p w:rsidR="00D60C24" w:rsidRPr="00C222A1" w:rsidRDefault="00D60C24" w:rsidP="00D60C24">
      <w:pPr>
        <w:pStyle w:val="Paragraphedeliste"/>
        <w:numPr>
          <w:ilvl w:val="0"/>
          <w:numId w:val="17"/>
        </w:numPr>
        <w:spacing w:line="360" w:lineRule="auto"/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Choisir les créances à sous-traiter : type de client, profil du payeur, nature de la créance.</w:t>
      </w:r>
    </w:p>
    <w:p w:rsidR="00B92C1B" w:rsidRPr="00B92C1B" w:rsidRDefault="00D60C24" w:rsidP="00D60C24">
      <w:pPr>
        <w:rPr>
          <w:rFonts w:asciiTheme="majorHAnsi" w:hAnsiTheme="majorHAnsi"/>
          <w:sz w:val="24"/>
          <w:szCs w:val="24"/>
        </w:rPr>
      </w:pPr>
      <w:r w:rsidRPr="00C222A1">
        <w:rPr>
          <w:rStyle w:val="lev"/>
          <w:rFonts w:ascii="Constantia" w:hAnsi="Constantia"/>
          <w:b w:val="0"/>
          <w:bCs w:val="0"/>
          <w:i/>
          <w:iCs/>
          <w:color w:val="000000"/>
          <w:sz w:val="28"/>
          <w:szCs w:val="28"/>
        </w:rPr>
        <w:t>Procédures d'exécution des décisions de justice rendues en matière de recouvrement</w:t>
      </w:r>
    </w:p>
    <w:sectPr w:rsidR="00B92C1B" w:rsidRPr="00B92C1B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74" w:rsidRDefault="00922674" w:rsidP="00DC4419">
      <w:pPr>
        <w:spacing w:after="0" w:line="240" w:lineRule="auto"/>
      </w:pPr>
      <w:r>
        <w:separator/>
      </w:r>
    </w:p>
  </w:endnote>
  <w:endnote w:type="continuationSeparator" w:id="1">
    <w:p w:rsidR="00922674" w:rsidRDefault="00922674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74" w:rsidRDefault="00922674" w:rsidP="00DC4419">
      <w:pPr>
        <w:spacing w:after="0" w:line="240" w:lineRule="auto"/>
      </w:pPr>
      <w:r>
        <w:separator/>
      </w:r>
    </w:p>
  </w:footnote>
  <w:footnote w:type="continuationSeparator" w:id="1">
    <w:p w:rsidR="00922674" w:rsidRDefault="00922674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72D6E"/>
    <w:multiLevelType w:val="hybridMultilevel"/>
    <w:tmpl w:val="684A629C"/>
    <w:lvl w:ilvl="0" w:tplc="06D8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6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4038C"/>
    <w:rsid w:val="000623B5"/>
    <w:rsid w:val="00066C42"/>
    <w:rsid w:val="000704AB"/>
    <w:rsid w:val="00072A33"/>
    <w:rsid w:val="00086D78"/>
    <w:rsid w:val="00095F6F"/>
    <w:rsid w:val="000D40DC"/>
    <w:rsid w:val="000E7FC4"/>
    <w:rsid w:val="000F64C2"/>
    <w:rsid w:val="00114209"/>
    <w:rsid w:val="0014462C"/>
    <w:rsid w:val="00147FF1"/>
    <w:rsid w:val="00192203"/>
    <w:rsid w:val="00195A85"/>
    <w:rsid w:val="001A0622"/>
    <w:rsid w:val="001C459B"/>
    <w:rsid w:val="001D3F6F"/>
    <w:rsid w:val="001E19A1"/>
    <w:rsid w:val="001E1DBD"/>
    <w:rsid w:val="001E357D"/>
    <w:rsid w:val="002135BD"/>
    <w:rsid w:val="002218A2"/>
    <w:rsid w:val="002241E5"/>
    <w:rsid w:val="00230DE1"/>
    <w:rsid w:val="00263FFE"/>
    <w:rsid w:val="00265626"/>
    <w:rsid w:val="00274222"/>
    <w:rsid w:val="00282459"/>
    <w:rsid w:val="00284E84"/>
    <w:rsid w:val="002A25A0"/>
    <w:rsid w:val="002B6064"/>
    <w:rsid w:val="002C26F4"/>
    <w:rsid w:val="002D7D19"/>
    <w:rsid w:val="002F4F25"/>
    <w:rsid w:val="00302D6A"/>
    <w:rsid w:val="003131F2"/>
    <w:rsid w:val="0033228A"/>
    <w:rsid w:val="003436C9"/>
    <w:rsid w:val="00356BFD"/>
    <w:rsid w:val="00374D9A"/>
    <w:rsid w:val="0038658F"/>
    <w:rsid w:val="00396ED0"/>
    <w:rsid w:val="003B0ECF"/>
    <w:rsid w:val="003B537C"/>
    <w:rsid w:val="003C268F"/>
    <w:rsid w:val="003C4CF6"/>
    <w:rsid w:val="003D41AD"/>
    <w:rsid w:val="003D56E4"/>
    <w:rsid w:val="003F51F9"/>
    <w:rsid w:val="003F64E0"/>
    <w:rsid w:val="004305E8"/>
    <w:rsid w:val="00432540"/>
    <w:rsid w:val="00452C5D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16E9D"/>
    <w:rsid w:val="00523077"/>
    <w:rsid w:val="00560977"/>
    <w:rsid w:val="00561F27"/>
    <w:rsid w:val="00572B5D"/>
    <w:rsid w:val="005A1BFA"/>
    <w:rsid w:val="005A7493"/>
    <w:rsid w:val="005B77FE"/>
    <w:rsid w:val="00632D83"/>
    <w:rsid w:val="00635F86"/>
    <w:rsid w:val="00651214"/>
    <w:rsid w:val="00657B0E"/>
    <w:rsid w:val="00657DF1"/>
    <w:rsid w:val="006849C1"/>
    <w:rsid w:val="00695E44"/>
    <w:rsid w:val="006B2B74"/>
    <w:rsid w:val="006C189A"/>
    <w:rsid w:val="006C1B26"/>
    <w:rsid w:val="006D2219"/>
    <w:rsid w:val="006E5B43"/>
    <w:rsid w:val="006F79F3"/>
    <w:rsid w:val="007022DE"/>
    <w:rsid w:val="00751309"/>
    <w:rsid w:val="007528F4"/>
    <w:rsid w:val="00754DA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304D5"/>
    <w:rsid w:val="0086535A"/>
    <w:rsid w:val="008917A0"/>
    <w:rsid w:val="008C7277"/>
    <w:rsid w:val="009035C0"/>
    <w:rsid w:val="00904170"/>
    <w:rsid w:val="00920338"/>
    <w:rsid w:val="00922674"/>
    <w:rsid w:val="00952C6B"/>
    <w:rsid w:val="00986084"/>
    <w:rsid w:val="009A0187"/>
    <w:rsid w:val="009A47CA"/>
    <w:rsid w:val="009C5513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B06534"/>
    <w:rsid w:val="00B446DA"/>
    <w:rsid w:val="00B74252"/>
    <w:rsid w:val="00B832BA"/>
    <w:rsid w:val="00B92C1B"/>
    <w:rsid w:val="00BA65DF"/>
    <w:rsid w:val="00BC10F2"/>
    <w:rsid w:val="00BC1B0C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5F89"/>
    <w:rsid w:val="00CC1E56"/>
    <w:rsid w:val="00CC1F21"/>
    <w:rsid w:val="00CE15B6"/>
    <w:rsid w:val="00CE1A32"/>
    <w:rsid w:val="00CE3729"/>
    <w:rsid w:val="00D00AB4"/>
    <w:rsid w:val="00D01B04"/>
    <w:rsid w:val="00D076D8"/>
    <w:rsid w:val="00D216A5"/>
    <w:rsid w:val="00D243AE"/>
    <w:rsid w:val="00D42560"/>
    <w:rsid w:val="00D60C24"/>
    <w:rsid w:val="00D71F4D"/>
    <w:rsid w:val="00D85B2C"/>
    <w:rsid w:val="00D95D70"/>
    <w:rsid w:val="00DA2137"/>
    <w:rsid w:val="00DA6F8B"/>
    <w:rsid w:val="00DB1B91"/>
    <w:rsid w:val="00DC22F6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character" w:styleId="lev">
    <w:name w:val="Strong"/>
    <w:uiPriority w:val="22"/>
    <w:qFormat/>
    <w:rsid w:val="00D60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4395-EF1B-4584-BEED-B13E12F1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2018-11-13T13:48:00Z</dcterms:created>
  <dcterms:modified xsi:type="dcterms:W3CDTF">2018-11-13T13:48:00Z</dcterms:modified>
</cp:coreProperties>
</file>