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87" w:rsidRPr="0093038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-74295</wp:posOffset>
            </wp:positionV>
            <wp:extent cx="1533525" cy="447675"/>
            <wp:effectExtent l="19050" t="0" r="9525" b="0"/>
            <wp:wrapNone/>
            <wp:docPr id="3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D93">
        <w:rPr>
          <w:rFonts w:ascii="Cambria" w:hAnsi="Cambria" w:cs="TimesNewRomanPSMT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71.55pt;margin-top:-2.45pt;width:0;height:62.25pt;z-index:251658240;mso-position-horizontal-relative:text;mso-position-vertical-relative:text" o:connectortype="straight"/>
        </w:pict>
      </w:r>
      <w:r w:rsidRPr="00930381">
        <w:rPr>
          <w:rFonts w:ascii="Cambria" w:hAnsi="Cambria" w:cs="TimesNewRomanPSMT"/>
          <w:sz w:val="16"/>
          <w:szCs w:val="16"/>
        </w:rPr>
        <w:t>GFA sarl</w:t>
      </w:r>
      <w:r w:rsidRPr="00930381">
        <w:rPr>
          <w:rFonts w:ascii="Cambria" w:hAnsi="Cambria" w:cs="TimesNewRomanPSMT"/>
          <w:sz w:val="16"/>
          <w:szCs w:val="16"/>
        </w:rPr>
        <w:tab/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930381">
        <w:rPr>
          <w:rFonts w:ascii="Cambria" w:hAnsi="Cambria" w:cs="TimesNewRomanPSMT"/>
          <w:sz w:val="16"/>
          <w:szCs w:val="16"/>
        </w:rPr>
        <w:t xml:space="preserve">GLOBAL FINANCE ALGERIA </w:t>
      </w:r>
    </w:p>
    <w:p w:rsidR="00E62D87" w:rsidRPr="00F25FA6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F25FA6">
        <w:rPr>
          <w:rFonts w:ascii="Cambria" w:hAnsi="Cambria" w:cs="TimesNewRomanPSMT"/>
          <w:sz w:val="16"/>
          <w:szCs w:val="16"/>
        </w:rPr>
        <w:t>Complexe Wakf Haï El Kiram</w:t>
      </w:r>
    </w:p>
    <w:p w:rsidR="00E62D87" w:rsidRPr="00F25FA6" w:rsidRDefault="00BB0D93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9.05pt;margin-top:-17.65pt;width:1in;height:36pt;z-index:251665408" strokecolor="white">
            <v:textbox>
              <w:txbxContent>
                <w:p w:rsidR="00E62D87" w:rsidRPr="00E642C1" w:rsidRDefault="00BB0D93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9" w:history="1">
                    <w:r w:rsidR="00E62D87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contact@gfa.dz</w:t>
                    </w:r>
                  </w:hyperlink>
                </w:p>
                <w:p w:rsidR="00E62D87" w:rsidRPr="00E642C1" w:rsidRDefault="00BB0D93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10" w:history="1">
                    <w:r w:rsidR="00E62D87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www.gfa.dz</w:t>
                    </w:r>
                  </w:hyperlink>
                </w:p>
                <w:p w:rsidR="00E62D87" w:rsidRPr="00FE1541" w:rsidRDefault="00E62D87" w:rsidP="00E62D87">
                  <w:pPr>
                    <w:spacing w:after="120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62D87" w:rsidRPr="00F25FA6">
        <w:rPr>
          <w:rFonts w:ascii="Cambria" w:hAnsi="Cambria" w:cs="TimesNewRomanPSMT"/>
          <w:sz w:val="16"/>
          <w:szCs w:val="16"/>
        </w:rPr>
        <w:t>Rue Abdelkader MEZOUAR</w:t>
      </w:r>
    </w:p>
    <w:p w:rsidR="00E62D87" w:rsidRPr="00F25FA6" w:rsidRDefault="00BB0D93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 id="_x0000_s1032" type="#_x0000_t202" style="position:absolute;left:0;text-align:left;margin-left:-19.95pt;margin-top:-9.6pt;width:221.95pt;height:37.75pt;z-index:251664384" strokecolor="white">
            <v:textbox>
              <w:txbxContent>
                <w:p w:rsidR="00E62D87" w:rsidRPr="00FE1541" w:rsidRDefault="00E62D87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541">
                    <w:rPr>
                      <w:rFonts w:ascii="Arial" w:hAnsi="Arial" w:cs="Arial"/>
                      <w:sz w:val="20"/>
                      <w:szCs w:val="20"/>
                    </w:rPr>
                    <w:t>Financial Training &amp; Consulting Company</w:t>
                  </w:r>
                </w:p>
                <w:p w:rsidR="00E62D87" w:rsidRPr="00FE1541" w:rsidRDefault="00E62D87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cole 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Agré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é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 par l’Etat </w:t>
                  </w:r>
                </w:p>
                <w:p w:rsidR="00E62D87" w:rsidRPr="00473272" w:rsidRDefault="00E62D87" w:rsidP="00E62D87">
                  <w:pPr>
                    <w:outlineLvl w:val="0"/>
                    <w:rPr>
                      <w:b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Arrêté N°5044 </w:t>
                  </w:r>
                </w:p>
                <w:p w:rsidR="00E62D87" w:rsidRDefault="00E62D87" w:rsidP="00E62D87"/>
              </w:txbxContent>
            </v:textbox>
          </v:shape>
        </w:pict>
      </w:r>
      <w:r w:rsidR="00E62D87" w:rsidRPr="00F25FA6">
        <w:rPr>
          <w:rFonts w:ascii="Cambria" w:hAnsi="Cambria" w:cs="TimesNewRomanPSMT"/>
          <w:sz w:val="16"/>
          <w:szCs w:val="16"/>
        </w:rPr>
        <w:t>Bt 07 Tixerain, Birkhadem, Alger</w:t>
      </w:r>
    </w:p>
    <w:p w:rsidR="00E62D87" w:rsidRPr="00F25FA6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F25FA6">
        <w:rPr>
          <w:rFonts w:ascii="Cambria" w:hAnsi="Cambria" w:cs="TimesNewRomanPSMT"/>
          <w:sz w:val="16"/>
          <w:szCs w:val="16"/>
        </w:rPr>
        <w:t>Tél/Fax : +213 (0) 21 57 00 39</w:t>
      </w:r>
    </w:p>
    <w:p w:rsidR="00E62D87" w:rsidRPr="00F25FA6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</w:p>
    <w:p w:rsidR="00E62D87" w:rsidRDefault="00BB0D93" w:rsidP="00E62D87">
      <w:r w:rsidRPr="00BB0D93">
        <w:rPr>
          <w:rFonts w:ascii="Arial Narrow" w:hAnsi="Arial Narrow"/>
          <w:i/>
          <w:iCs/>
          <w:noProof/>
          <w:color w:val="993300"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63.35pt;margin-top:12.8pt;width:333pt;height:82.95pt;z-index:-251655168" strokecolor="#c00000">
            <v:textbox style="mso-next-textbox:#_x0000_s1027">
              <w:txbxContent>
                <w:p w:rsidR="00AA4266" w:rsidRPr="0036634B" w:rsidRDefault="0006368B" w:rsidP="00AA42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 w:rsidRPr="0036634B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LES ALLOCATIONS DEVISES  ET LES DROITS DE CHANGE</w:t>
                  </w:r>
                </w:p>
                <w:p w:rsidR="00AF50CB" w:rsidRDefault="00AF50CB" w:rsidP="00AA42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  <w:p w:rsidR="0036634B" w:rsidRPr="0036634B" w:rsidRDefault="00AF50CB" w:rsidP="00AA42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Au siège de GFA l</w:t>
                  </w:r>
                  <w:r w:rsidR="0036634B" w:rsidRPr="0036634B">
                    <w:rPr>
                      <w:rFonts w:asciiTheme="majorHAnsi" w:hAnsiTheme="majorHAnsi"/>
                      <w:b/>
                    </w:rPr>
                    <w:t>e 1</w:t>
                  </w:r>
                  <w:r>
                    <w:rPr>
                      <w:rFonts w:asciiTheme="majorHAnsi" w:hAnsiTheme="majorHAnsi"/>
                      <w:b/>
                    </w:rPr>
                    <w:t>8 N</w:t>
                  </w:r>
                  <w:r w:rsidR="0036634B" w:rsidRPr="0036634B">
                    <w:rPr>
                      <w:rFonts w:asciiTheme="majorHAnsi" w:hAnsiTheme="majorHAnsi"/>
                      <w:b/>
                    </w:rPr>
                    <w:t>ovembre 2018</w:t>
                  </w:r>
                </w:p>
              </w:txbxContent>
            </v:textbox>
          </v:shape>
        </w:pict>
      </w:r>
    </w:p>
    <w:p w:rsidR="00E62D87" w:rsidRPr="00E62D87" w:rsidRDefault="00E62D87" w:rsidP="00E62D87"/>
    <w:p w:rsidR="00BE49C4" w:rsidRDefault="00BE49C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AF50CB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  <w:r w:rsidRPr="00BB0D93">
        <w:rPr>
          <w:rFonts w:ascii="Arial Narrow" w:hAnsi="Arial Narrow"/>
          <w:b w:val="0"/>
          <w:bCs w:val="0"/>
          <w:i/>
          <w:iCs/>
          <w:noProof/>
          <w:color w:val="993300"/>
          <w:sz w:val="20"/>
          <w:szCs w:val="20"/>
        </w:rPr>
        <w:pict>
          <v:shape id="_x0000_s1026" type="#_x0000_t176" style="position:absolute;left:0;text-align:left;margin-left:301.85pt;margin-top:6.45pt;width:94.5pt;height:25.5pt;z-index:251660288">
            <v:textbox style="mso-next-textbox:#_x0000_s1026">
              <w:txbxContent>
                <w:p w:rsidR="0006368B" w:rsidRPr="00531196" w:rsidRDefault="0006368B" w:rsidP="0006368B">
                  <w:pPr>
                    <w:rPr>
                      <w:b/>
                    </w:rPr>
                  </w:pPr>
                  <w:r>
                    <w:rPr>
                      <w:b/>
                      <w:color w:val="FF0000"/>
                    </w:rPr>
                    <w:t>D</w:t>
                  </w:r>
                  <w:r w:rsidRPr="00531196">
                    <w:rPr>
                      <w:b/>
                      <w:color w:val="FF0000"/>
                    </w:rPr>
                    <w:t>urée</w:t>
                  </w:r>
                  <w:r w:rsidRPr="00531196"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t>1 jour</w:t>
                  </w:r>
                </w:p>
                <w:p w:rsidR="00F329C1" w:rsidRPr="002D7D19" w:rsidRDefault="00F329C1" w:rsidP="002D7D19"/>
              </w:txbxContent>
            </v:textbox>
          </v:shape>
        </w:pict>
      </w: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AA4266" w:rsidRDefault="00CB5F89" w:rsidP="00F25FA6">
      <w:pPr>
        <w:autoSpaceDE w:val="0"/>
        <w:autoSpaceDN w:val="0"/>
        <w:adjustRightInd w:val="0"/>
        <w:spacing w:after="0" w:line="240" w:lineRule="auto"/>
        <w:jc w:val="both"/>
        <w:rPr>
          <w:rFonts w:ascii="HypatiaSansPro-Bold" w:eastAsia="Times New Roman" w:hAnsi="Calibri" w:cs="HypatiaSansPro-Bold"/>
          <w:b/>
          <w:bCs/>
        </w:rPr>
      </w:pPr>
      <w:r>
        <w:rPr>
          <w:rFonts w:ascii="HypatiaSansPro-Bold" w:eastAsia="Times New Roman" w:hAnsi="Calibri" w:cs="HypatiaSansPro-Bold"/>
          <w:b/>
          <w:bCs/>
        </w:rPr>
        <w:tab/>
      </w:r>
    </w:p>
    <w:p w:rsidR="00AA4266" w:rsidRPr="00BC10F2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Objectif</w:t>
      </w:r>
      <w:r w:rsidR="00F25FA6">
        <w:rPr>
          <w:rFonts w:asciiTheme="majorHAnsi" w:hAnsiTheme="majorHAnsi"/>
          <w:b/>
          <w:bCs/>
          <w:sz w:val="24"/>
          <w:szCs w:val="24"/>
          <w:u w:val="single"/>
        </w:rPr>
        <w:t>s</w:t>
      </w: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 :</w:t>
      </w:r>
    </w:p>
    <w:p w:rsidR="0006368B" w:rsidRPr="00BC10F2" w:rsidRDefault="0006368B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6368B" w:rsidRDefault="0006368B" w:rsidP="0006368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7610A">
        <w:rPr>
          <w:rFonts w:asciiTheme="majorHAnsi" w:hAnsiTheme="majorHAnsi"/>
          <w:sz w:val="24"/>
          <w:szCs w:val="24"/>
        </w:rPr>
        <w:t>Présenter</w:t>
      </w:r>
      <w:r>
        <w:rPr>
          <w:rFonts w:asciiTheme="majorHAnsi" w:hAnsiTheme="majorHAnsi"/>
          <w:sz w:val="24"/>
          <w:szCs w:val="24"/>
        </w:rPr>
        <w:t> :</w:t>
      </w:r>
    </w:p>
    <w:p w:rsidR="00AF50CB" w:rsidRDefault="00AF50CB" w:rsidP="0006368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F50CB" w:rsidRDefault="0006368B" w:rsidP="00AA426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6368B">
        <w:rPr>
          <w:rFonts w:asciiTheme="majorHAnsi" w:hAnsiTheme="majorHAnsi"/>
          <w:sz w:val="24"/>
          <w:szCs w:val="24"/>
        </w:rPr>
        <w:t>LES DIFFERENTES ALLOCATIONS DEVISES</w:t>
      </w:r>
    </w:p>
    <w:p w:rsidR="00AF50CB" w:rsidRDefault="00AF50CB" w:rsidP="00AA426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A4266" w:rsidRDefault="0006368B" w:rsidP="00AA426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6368B">
        <w:rPr>
          <w:rFonts w:asciiTheme="majorHAnsi" w:hAnsiTheme="majorHAnsi"/>
          <w:sz w:val="24"/>
          <w:szCs w:val="24"/>
        </w:rPr>
        <w:t>LES DIFFERENTS DROITS DE CHANGE</w:t>
      </w:r>
      <w:r>
        <w:rPr>
          <w:rFonts w:asciiTheme="majorHAnsi" w:hAnsiTheme="majorHAnsi"/>
          <w:sz w:val="24"/>
          <w:szCs w:val="24"/>
        </w:rPr>
        <w:t>.</w:t>
      </w:r>
    </w:p>
    <w:p w:rsidR="00AF50CB" w:rsidRPr="00BC10F2" w:rsidRDefault="00AF50CB" w:rsidP="00AA426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Population</w:t>
      </w:r>
      <w:r w:rsidR="00AF50CB">
        <w:rPr>
          <w:rFonts w:asciiTheme="majorHAnsi" w:hAnsiTheme="majorHAnsi"/>
          <w:b/>
          <w:bCs/>
          <w:sz w:val="24"/>
          <w:szCs w:val="24"/>
          <w:u w:val="single"/>
        </w:rPr>
        <w:t xml:space="preserve"> ciblée </w:t>
      </w: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 :</w:t>
      </w:r>
    </w:p>
    <w:p w:rsidR="00F25FA6" w:rsidRDefault="00F25FA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06368B" w:rsidRPr="00BC10F2" w:rsidRDefault="0006368B" w:rsidP="0006368B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C10F2">
        <w:rPr>
          <w:rFonts w:asciiTheme="majorHAnsi" w:hAnsiTheme="majorHAnsi"/>
          <w:b/>
          <w:bCs/>
          <w:sz w:val="24"/>
          <w:szCs w:val="24"/>
        </w:rPr>
        <w:t>Ce séminaire est recommandé aux personnes suivantes :</w:t>
      </w:r>
    </w:p>
    <w:p w:rsidR="0006368B" w:rsidRPr="00BF081C" w:rsidRDefault="0006368B" w:rsidP="0006368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BF081C">
        <w:rPr>
          <w:rFonts w:ascii="Cambria" w:eastAsia="Times New Roman" w:hAnsi="Cambria" w:cs="Times New Roman"/>
          <w:sz w:val="24"/>
          <w:szCs w:val="24"/>
        </w:rPr>
        <w:t>A tous les intervenants exerçant au sein des banques et des entreprises dans l</w:t>
      </w:r>
      <w:r>
        <w:rPr>
          <w:rFonts w:ascii="Cambria" w:eastAsia="Times New Roman" w:hAnsi="Cambria" w:cs="Times New Roman"/>
          <w:sz w:val="24"/>
          <w:szCs w:val="24"/>
        </w:rPr>
        <w:t>e domaine du commerce extérieur (opérationnels, contrôleurs , auditeurs internes et externes)</w:t>
      </w:r>
    </w:p>
    <w:p w:rsidR="0006368B" w:rsidRPr="00BF081C" w:rsidRDefault="0006368B" w:rsidP="0006368B">
      <w:pPr>
        <w:spacing w:after="0" w:line="240" w:lineRule="auto"/>
        <w:ind w:left="360"/>
        <w:jc w:val="both"/>
        <w:rPr>
          <w:rFonts w:ascii="Cambria" w:eastAsia="Times New Roman" w:hAnsi="Cambria" w:cs="Times New Roman"/>
          <w:sz w:val="8"/>
          <w:szCs w:val="8"/>
        </w:rPr>
      </w:pPr>
    </w:p>
    <w:p w:rsidR="0006368B" w:rsidRPr="00BF081C" w:rsidRDefault="0006368B" w:rsidP="0006368B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BF081C">
        <w:rPr>
          <w:rFonts w:ascii="Cambria" w:eastAsia="Times New Roman" w:hAnsi="Cambria" w:cs="Times New Roman"/>
          <w:sz w:val="24"/>
          <w:szCs w:val="24"/>
        </w:rPr>
        <w:t xml:space="preserve">A toutes personnes intéressées par l’activité de commerce extérieur. </w:t>
      </w:r>
    </w:p>
    <w:p w:rsidR="00AA4266" w:rsidRPr="00BC10F2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Déroulement de la Formation :</w:t>
      </w:r>
    </w:p>
    <w:p w:rsidR="00AA4266" w:rsidRPr="00A449F4" w:rsidRDefault="00AA4266" w:rsidP="00AA426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449F4">
        <w:rPr>
          <w:rFonts w:ascii="Cambria" w:eastAsia="Times New Roman" w:hAnsi="Cambria" w:cs="Times New Roman"/>
          <w:bCs/>
          <w:sz w:val="24"/>
          <w:szCs w:val="24"/>
        </w:rPr>
        <w:t>Support power point.</w:t>
      </w:r>
    </w:p>
    <w:p w:rsidR="00AA4266" w:rsidRDefault="00AA4266" w:rsidP="00AA426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449F4">
        <w:rPr>
          <w:rFonts w:ascii="Cambria" w:eastAsia="Times New Roman" w:hAnsi="Cambria" w:cs="Times New Roman"/>
          <w:bCs/>
          <w:sz w:val="24"/>
          <w:szCs w:val="24"/>
        </w:rPr>
        <w:t>Cahier d’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exercices </w:t>
      </w:r>
    </w:p>
    <w:p w:rsidR="003A092B" w:rsidRDefault="003A092B" w:rsidP="003A092B">
      <w:pPr>
        <w:pStyle w:val="Paragraphedeliste"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811270" w:rsidRDefault="003A092B" w:rsidP="00811270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7F20E9">
        <w:rPr>
          <w:rFonts w:asciiTheme="majorHAnsi" w:hAnsiTheme="majorHAnsi"/>
          <w:b/>
          <w:bCs/>
          <w:sz w:val="24"/>
          <w:szCs w:val="24"/>
          <w:u w:val="single"/>
        </w:rPr>
        <w:t>Animateur:</w:t>
      </w:r>
    </w:p>
    <w:p w:rsidR="003A092B" w:rsidRPr="00811270" w:rsidRDefault="0036634B" w:rsidP="00811270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     </w:t>
      </w:r>
      <w:r w:rsidR="003A092B" w:rsidRPr="003A092B">
        <w:rPr>
          <w:rFonts w:asciiTheme="majorHAnsi" w:hAnsiTheme="majorHAnsi"/>
          <w:b/>
          <w:bCs/>
          <w:sz w:val="24"/>
          <w:szCs w:val="24"/>
        </w:rPr>
        <w:t>Monsieur</w:t>
      </w:r>
      <w:r>
        <w:rPr>
          <w:rFonts w:asciiTheme="majorHAnsi" w:hAnsiTheme="majorHAnsi"/>
          <w:b/>
          <w:bCs/>
          <w:sz w:val="24"/>
          <w:szCs w:val="24"/>
        </w:rPr>
        <w:t xml:space="preserve"> Abdelkrim </w:t>
      </w:r>
      <w:r w:rsidR="003A092B" w:rsidRPr="003A092B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A092B">
        <w:rPr>
          <w:rFonts w:asciiTheme="majorHAnsi" w:hAnsiTheme="majorHAnsi"/>
          <w:b/>
          <w:bCs/>
          <w:sz w:val="24"/>
          <w:szCs w:val="24"/>
        </w:rPr>
        <w:t>Denni</w:t>
      </w:r>
    </w:p>
    <w:p w:rsidR="003A092B" w:rsidRDefault="00811270" w:rsidP="003A092B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       Consultant formateur</w:t>
      </w:r>
    </w:p>
    <w:p w:rsidR="00811270" w:rsidRDefault="00811270" w:rsidP="003A092B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811270" w:rsidRPr="003A092B" w:rsidRDefault="00811270" w:rsidP="003A092B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Cs/>
          <w:noProof/>
          <w:sz w:val="24"/>
          <w:szCs w:val="24"/>
        </w:rPr>
        <w:drawing>
          <wp:inline distT="0" distB="0" distL="0" distR="0">
            <wp:extent cx="1438275" cy="495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76" cy="498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28F4" w:rsidRDefault="007528F4" w:rsidP="007528F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7528F4" w:rsidRDefault="007528F4" w:rsidP="007528F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7528F4" w:rsidRDefault="007528F4" w:rsidP="007528F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06368B">
        <w:rPr>
          <w:rFonts w:asciiTheme="majorHAnsi" w:hAnsiTheme="majorHAnsi"/>
          <w:b/>
          <w:sz w:val="24"/>
          <w:szCs w:val="24"/>
          <w:u w:val="single"/>
        </w:rPr>
        <w:t>Coût de la formation</w:t>
      </w:r>
      <w:r w:rsidR="0006368B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AF50CB" w:rsidRPr="0006368B" w:rsidRDefault="00AF50CB" w:rsidP="007528F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D420E3" w:rsidRPr="00AF50CB" w:rsidRDefault="00D420E3" w:rsidP="00D420E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EA761C">
        <w:rPr>
          <w:rFonts w:ascii="Cambria" w:eastAsia="Times New Roman" w:hAnsi="Cambria" w:cs="Times New Roman"/>
          <w:b/>
          <w:bCs/>
          <w:sz w:val="24"/>
          <w:szCs w:val="24"/>
        </w:rPr>
        <w:t>Frais DZD 22.000,00 HT/ Jour /</w:t>
      </w:r>
      <w:r w:rsidRPr="00AF50CB">
        <w:rPr>
          <w:rFonts w:ascii="Cambria" w:eastAsia="Times New Roman" w:hAnsi="Cambria" w:cs="Times New Roman"/>
          <w:b/>
          <w:bCs/>
          <w:sz w:val="24"/>
          <w:szCs w:val="24"/>
        </w:rPr>
        <w:t xml:space="preserve">participant </w:t>
      </w:r>
    </w:p>
    <w:p w:rsidR="00AF50CB" w:rsidRPr="00EA761C" w:rsidRDefault="00AF50CB" w:rsidP="00AF50CB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D420E3" w:rsidRPr="00B63C8E" w:rsidRDefault="00D420E3" w:rsidP="00D420E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EA761C">
        <w:rPr>
          <w:rFonts w:asciiTheme="majorHAnsi" w:hAnsiTheme="majorHAnsi"/>
          <w:b/>
          <w:bCs/>
          <w:sz w:val="24"/>
          <w:szCs w:val="24"/>
          <w:u w:val="single"/>
        </w:rPr>
        <w:t xml:space="preserve"> Annulation</w:t>
      </w:r>
      <w:r w:rsidRPr="00EA761C">
        <w:rPr>
          <w:rFonts w:asciiTheme="majorHAnsi" w:hAnsiTheme="majorHAnsi"/>
          <w:b/>
          <w:bCs/>
          <w:sz w:val="24"/>
          <w:szCs w:val="24"/>
        </w:rPr>
        <w:t> </w:t>
      </w:r>
      <w:r w:rsidRPr="00EA761C">
        <w:rPr>
          <w:rFonts w:asciiTheme="majorHAnsi" w:hAnsiTheme="majorHAnsi"/>
          <w:b/>
          <w:bCs/>
          <w:sz w:val="24"/>
          <w:szCs w:val="24"/>
          <w:u w:val="single"/>
        </w:rPr>
        <w:t>:</w:t>
      </w:r>
    </w:p>
    <w:p w:rsidR="00D420E3" w:rsidRPr="00E62D87" w:rsidRDefault="00D420E3" w:rsidP="00D420E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E62D87">
        <w:rPr>
          <w:rFonts w:ascii="Cambria" w:eastAsia="Times New Roman" w:hAnsi="Cambria" w:cs="Times New Roman"/>
          <w:sz w:val="24"/>
          <w:szCs w:val="24"/>
        </w:rPr>
        <w:t xml:space="preserve">Toute demande d’annulation doit être faite par écrit (e-mail ou fax) </w:t>
      </w:r>
      <w:r>
        <w:rPr>
          <w:rFonts w:ascii="Cambria" w:eastAsia="Times New Roman" w:hAnsi="Cambria" w:cs="Times New Roman"/>
          <w:sz w:val="24"/>
          <w:szCs w:val="24"/>
        </w:rPr>
        <w:t>07</w:t>
      </w:r>
      <w:r w:rsidRPr="00E62D87">
        <w:rPr>
          <w:rFonts w:ascii="Cambria" w:eastAsia="Times New Roman" w:hAnsi="Cambria" w:cs="Times New Roman"/>
          <w:sz w:val="24"/>
          <w:szCs w:val="24"/>
        </w:rPr>
        <w:t xml:space="preserve"> jours ouvrables avant la date de début des cours.</w:t>
      </w:r>
    </w:p>
    <w:p w:rsidR="00D420E3" w:rsidRDefault="00D420E3" w:rsidP="00D420E3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E62D87" w:rsidRDefault="00E62D87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D420E3" w:rsidRDefault="00D420E3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D420E3" w:rsidRDefault="00D420E3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D420E3" w:rsidRDefault="00D420E3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D420E3" w:rsidRDefault="00D420E3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D420E3" w:rsidRDefault="00D420E3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D420E3" w:rsidRPr="00811270" w:rsidRDefault="00D420E3" w:rsidP="00811270">
      <w:pPr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D420E3" w:rsidRDefault="00D420E3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D420E3" w:rsidRPr="00F00672" w:rsidRDefault="00D420E3" w:rsidP="00D420E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F00672">
        <w:rPr>
          <w:rFonts w:asciiTheme="majorHAnsi" w:hAnsiTheme="majorHAnsi"/>
          <w:b/>
          <w:bCs/>
          <w:sz w:val="28"/>
          <w:szCs w:val="28"/>
          <w:u w:val="single"/>
        </w:rPr>
        <w:t>Programme de la Formation</w:t>
      </w:r>
    </w:p>
    <w:p w:rsidR="00D420E3" w:rsidRDefault="00D420E3" w:rsidP="00D420E3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D420E3" w:rsidRDefault="00D420E3" w:rsidP="00D420E3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Introduction</w:t>
      </w:r>
    </w:p>
    <w:p w:rsidR="00D420E3" w:rsidRPr="008C148E" w:rsidRDefault="00D420E3" w:rsidP="00D420E3">
      <w:pPr>
        <w:rPr>
          <w:b/>
          <w:smallCaps/>
        </w:rPr>
      </w:pPr>
    </w:p>
    <w:p w:rsidR="00D420E3" w:rsidRPr="00D420E3" w:rsidRDefault="00D420E3" w:rsidP="00D420E3">
      <w:pPr>
        <w:spacing w:after="0"/>
        <w:rPr>
          <w:rFonts w:eastAsiaTheme="minorHAnsi"/>
          <w:b/>
          <w:sz w:val="8"/>
          <w:szCs w:val="8"/>
          <w:lang w:eastAsia="en-US"/>
        </w:rPr>
      </w:pPr>
      <w:r w:rsidRPr="00D420E3">
        <w:rPr>
          <w:rFonts w:eastAsiaTheme="minorHAnsi"/>
          <w:b/>
          <w:sz w:val="24"/>
          <w:szCs w:val="24"/>
          <w:lang w:eastAsia="en-US"/>
        </w:rPr>
        <w:t>- I – LES DIFFERENTES ALLOCATIONS DEVISES</w:t>
      </w:r>
    </w:p>
    <w:p w:rsidR="00D420E3" w:rsidRPr="00D420E3" w:rsidRDefault="00D420E3" w:rsidP="00D420E3">
      <w:pPr>
        <w:spacing w:after="0"/>
        <w:rPr>
          <w:rFonts w:eastAsiaTheme="minorHAnsi"/>
          <w:b/>
          <w:sz w:val="8"/>
          <w:szCs w:val="8"/>
          <w:lang w:eastAsia="en-US"/>
        </w:rPr>
      </w:pPr>
    </w:p>
    <w:p w:rsidR="00D420E3" w:rsidRPr="00D420E3" w:rsidRDefault="00D420E3" w:rsidP="00D420E3">
      <w:pPr>
        <w:spacing w:after="0"/>
        <w:ind w:left="480"/>
        <w:rPr>
          <w:rFonts w:eastAsiaTheme="minorHAnsi"/>
          <w:b/>
          <w:sz w:val="24"/>
          <w:szCs w:val="24"/>
          <w:lang w:eastAsia="en-US"/>
        </w:rPr>
      </w:pPr>
      <w:r w:rsidRPr="00D420E3">
        <w:rPr>
          <w:rFonts w:eastAsiaTheme="minorHAnsi"/>
          <w:b/>
          <w:sz w:val="24"/>
          <w:szCs w:val="24"/>
          <w:lang w:eastAsia="en-US"/>
        </w:rPr>
        <w:t>1 -  Allocation au profit des nationaux résidents pour voyage à l’étranger</w:t>
      </w:r>
    </w:p>
    <w:p w:rsidR="00D420E3" w:rsidRPr="00D420E3" w:rsidRDefault="00D420E3" w:rsidP="00D420E3">
      <w:pPr>
        <w:spacing w:after="0"/>
        <w:rPr>
          <w:rFonts w:eastAsiaTheme="minorHAnsi"/>
          <w:b/>
          <w:sz w:val="8"/>
          <w:szCs w:val="8"/>
          <w:lang w:eastAsia="en-US"/>
        </w:rPr>
      </w:pPr>
      <w:r w:rsidRPr="00D420E3">
        <w:rPr>
          <w:rFonts w:eastAsiaTheme="minorHAnsi"/>
          <w:b/>
          <w:sz w:val="24"/>
          <w:szCs w:val="24"/>
          <w:lang w:eastAsia="en-US"/>
        </w:rPr>
        <w:tab/>
      </w:r>
    </w:p>
    <w:p w:rsidR="00D420E3" w:rsidRPr="00D420E3" w:rsidRDefault="00D420E3" w:rsidP="00D420E3">
      <w:pPr>
        <w:spacing w:after="0"/>
        <w:rPr>
          <w:rFonts w:eastAsiaTheme="minorHAnsi"/>
          <w:bCs/>
          <w:sz w:val="24"/>
          <w:szCs w:val="24"/>
          <w:lang w:eastAsia="en-US"/>
        </w:rPr>
      </w:pPr>
      <w:r w:rsidRPr="00D420E3">
        <w:rPr>
          <w:rFonts w:eastAsiaTheme="minorHAnsi"/>
          <w:bCs/>
          <w:sz w:val="24"/>
          <w:szCs w:val="24"/>
          <w:lang w:eastAsia="en-US"/>
        </w:rPr>
        <w:t xml:space="preserve">1-1  Le cadre règlementaire    </w:t>
      </w:r>
    </w:p>
    <w:p w:rsidR="00D420E3" w:rsidRPr="00D420E3" w:rsidRDefault="00D420E3" w:rsidP="00D420E3">
      <w:pPr>
        <w:spacing w:after="0"/>
        <w:rPr>
          <w:rFonts w:eastAsiaTheme="minorHAnsi"/>
          <w:bCs/>
          <w:sz w:val="24"/>
          <w:szCs w:val="24"/>
          <w:lang w:eastAsia="en-US"/>
        </w:rPr>
      </w:pPr>
      <w:r w:rsidRPr="00D420E3">
        <w:rPr>
          <w:rFonts w:eastAsiaTheme="minorHAnsi"/>
          <w:bCs/>
          <w:sz w:val="24"/>
          <w:szCs w:val="24"/>
          <w:lang w:eastAsia="en-US"/>
        </w:rPr>
        <w:tab/>
        <w:t xml:space="preserve">1-2  Modalités pratiques          </w:t>
      </w:r>
    </w:p>
    <w:p w:rsidR="00D420E3" w:rsidRPr="00D420E3" w:rsidRDefault="00D420E3" w:rsidP="00D420E3">
      <w:pPr>
        <w:spacing w:after="0"/>
        <w:ind w:left="480"/>
        <w:rPr>
          <w:rFonts w:eastAsiaTheme="minorHAnsi"/>
          <w:b/>
          <w:sz w:val="16"/>
          <w:szCs w:val="16"/>
          <w:lang w:eastAsia="en-US"/>
        </w:rPr>
      </w:pPr>
    </w:p>
    <w:p w:rsidR="00D420E3" w:rsidRPr="00D420E3" w:rsidRDefault="00D420E3" w:rsidP="00D420E3">
      <w:pPr>
        <w:spacing w:after="0"/>
        <w:rPr>
          <w:rFonts w:eastAsiaTheme="minorHAnsi"/>
          <w:b/>
          <w:sz w:val="24"/>
          <w:szCs w:val="24"/>
          <w:lang w:eastAsia="en-US"/>
        </w:rPr>
      </w:pPr>
      <w:r w:rsidRPr="00D420E3">
        <w:rPr>
          <w:rFonts w:eastAsiaTheme="minorHAnsi"/>
          <w:b/>
          <w:sz w:val="24"/>
          <w:szCs w:val="24"/>
          <w:lang w:eastAsia="en-US"/>
        </w:rPr>
        <w:t xml:space="preserve">         2 - Allocation devises aux fins de l’accomplissement de l’accomplissement du </w:t>
      </w:r>
    </w:p>
    <w:p w:rsidR="00D420E3" w:rsidRPr="00D420E3" w:rsidRDefault="00D420E3" w:rsidP="00D420E3">
      <w:pPr>
        <w:spacing w:after="0"/>
        <w:rPr>
          <w:rFonts w:eastAsiaTheme="minorHAnsi"/>
          <w:b/>
          <w:sz w:val="24"/>
          <w:szCs w:val="24"/>
          <w:lang w:eastAsia="en-US"/>
        </w:rPr>
      </w:pPr>
      <w:r w:rsidRPr="00D420E3">
        <w:rPr>
          <w:rFonts w:eastAsiaTheme="minorHAnsi"/>
          <w:b/>
          <w:sz w:val="24"/>
          <w:szCs w:val="24"/>
          <w:lang w:eastAsia="en-US"/>
        </w:rPr>
        <w:t>pèlerinage aux Lieux Saints de l’Islam (Hadj et Omra).</w:t>
      </w:r>
    </w:p>
    <w:p w:rsidR="00D420E3" w:rsidRPr="00D420E3" w:rsidRDefault="00D420E3" w:rsidP="00D420E3">
      <w:pPr>
        <w:spacing w:after="0"/>
        <w:rPr>
          <w:rFonts w:eastAsiaTheme="minorHAnsi"/>
          <w:b/>
          <w:sz w:val="8"/>
          <w:szCs w:val="8"/>
          <w:lang w:eastAsia="en-US"/>
        </w:rPr>
      </w:pPr>
    </w:p>
    <w:p w:rsidR="00D420E3" w:rsidRPr="00D420E3" w:rsidRDefault="00D420E3" w:rsidP="00D420E3">
      <w:pPr>
        <w:spacing w:after="0"/>
        <w:rPr>
          <w:rFonts w:eastAsiaTheme="minorHAnsi"/>
          <w:bCs/>
          <w:sz w:val="24"/>
          <w:szCs w:val="24"/>
          <w:lang w:eastAsia="en-US"/>
        </w:rPr>
      </w:pPr>
      <w:r w:rsidRPr="00D420E3">
        <w:rPr>
          <w:rFonts w:eastAsiaTheme="minorHAnsi"/>
          <w:b/>
          <w:sz w:val="24"/>
          <w:szCs w:val="24"/>
          <w:lang w:eastAsia="en-US"/>
        </w:rPr>
        <w:tab/>
      </w:r>
      <w:r w:rsidRPr="00D420E3">
        <w:rPr>
          <w:rFonts w:eastAsiaTheme="minorHAnsi"/>
          <w:bCs/>
          <w:sz w:val="24"/>
          <w:szCs w:val="24"/>
          <w:lang w:eastAsia="en-US"/>
        </w:rPr>
        <w:t xml:space="preserve">2-1  Le cadre règlementaire    </w:t>
      </w:r>
    </w:p>
    <w:p w:rsidR="00D420E3" w:rsidRPr="00D420E3" w:rsidRDefault="00D420E3" w:rsidP="00D420E3">
      <w:pPr>
        <w:spacing w:after="0"/>
        <w:rPr>
          <w:rFonts w:eastAsiaTheme="minorHAnsi"/>
          <w:bCs/>
          <w:sz w:val="24"/>
          <w:szCs w:val="24"/>
          <w:lang w:eastAsia="en-US"/>
        </w:rPr>
      </w:pPr>
      <w:r w:rsidRPr="00D420E3">
        <w:rPr>
          <w:rFonts w:eastAsiaTheme="minorHAnsi"/>
          <w:bCs/>
          <w:sz w:val="24"/>
          <w:szCs w:val="24"/>
          <w:lang w:eastAsia="en-US"/>
        </w:rPr>
        <w:tab/>
        <w:t xml:space="preserve">2-2  Modalités pratiques          </w:t>
      </w:r>
    </w:p>
    <w:p w:rsidR="00D420E3" w:rsidRPr="00D420E3" w:rsidRDefault="00D420E3" w:rsidP="00D420E3">
      <w:pPr>
        <w:spacing w:after="0"/>
        <w:rPr>
          <w:rFonts w:eastAsiaTheme="minorHAnsi"/>
          <w:b/>
          <w:sz w:val="24"/>
          <w:szCs w:val="24"/>
          <w:lang w:eastAsia="en-US"/>
        </w:rPr>
      </w:pPr>
    </w:p>
    <w:p w:rsidR="00D420E3" w:rsidRPr="00D420E3" w:rsidRDefault="00D420E3" w:rsidP="00D420E3">
      <w:pPr>
        <w:spacing w:after="0"/>
        <w:rPr>
          <w:rFonts w:eastAsiaTheme="minorHAnsi"/>
          <w:b/>
          <w:sz w:val="24"/>
          <w:szCs w:val="24"/>
          <w:lang w:eastAsia="en-US"/>
        </w:rPr>
      </w:pPr>
      <w:r w:rsidRPr="00D420E3">
        <w:rPr>
          <w:rFonts w:eastAsiaTheme="minorHAnsi"/>
          <w:b/>
          <w:sz w:val="24"/>
          <w:szCs w:val="24"/>
          <w:lang w:eastAsia="en-US"/>
        </w:rPr>
        <w:t>-II – LES DIFFERENTS DROITS DE CHANGE</w:t>
      </w:r>
    </w:p>
    <w:p w:rsidR="00D420E3" w:rsidRPr="00D420E3" w:rsidRDefault="00D420E3" w:rsidP="00D420E3">
      <w:pPr>
        <w:spacing w:after="0"/>
        <w:rPr>
          <w:rFonts w:eastAsiaTheme="minorHAnsi"/>
          <w:b/>
          <w:sz w:val="8"/>
          <w:szCs w:val="8"/>
          <w:lang w:eastAsia="en-US"/>
        </w:rPr>
      </w:pPr>
    </w:p>
    <w:p w:rsidR="00D420E3" w:rsidRPr="00D420E3" w:rsidRDefault="00D420E3" w:rsidP="00D420E3">
      <w:pPr>
        <w:spacing w:after="0"/>
        <w:rPr>
          <w:rFonts w:eastAsiaTheme="minorHAnsi"/>
          <w:b/>
          <w:sz w:val="8"/>
          <w:szCs w:val="8"/>
          <w:lang w:eastAsia="en-US"/>
        </w:rPr>
      </w:pPr>
    </w:p>
    <w:p w:rsidR="00D420E3" w:rsidRPr="00D420E3" w:rsidRDefault="00D420E3" w:rsidP="00D420E3">
      <w:pPr>
        <w:spacing w:after="0"/>
        <w:rPr>
          <w:rFonts w:eastAsiaTheme="minorHAnsi"/>
          <w:b/>
          <w:sz w:val="24"/>
          <w:szCs w:val="24"/>
          <w:lang w:eastAsia="en-US"/>
        </w:rPr>
      </w:pPr>
      <w:r w:rsidRPr="00D420E3">
        <w:rPr>
          <w:rFonts w:eastAsiaTheme="minorHAnsi"/>
          <w:b/>
          <w:sz w:val="24"/>
          <w:szCs w:val="24"/>
          <w:lang w:eastAsia="en-US"/>
        </w:rPr>
        <w:t xml:space="preserve">         1-  Droit de change au titre des indemnités journalières compensatrices de frais   </w:t>
      </w:r>
    </w:p>
    <w:p w:rsidR="00D420E3" w:rsidRPr="00D420E3" w:rsidRDefault="00D420E3" w:rsidP="00D420E3">
      <w:pPr>
        <w:spacing w:after="0"/>
        <w:rPr>
          <w:rFonts w:eastAsiaTheme="minorHAnsi"/>
          <w:b/>
          <w:sz w:val="24"/>
          <w:szCs w:val="24"/>
          <w:lang w:eastAsia="en-US"/>
        </w:rPr>
      </w:pPr>
      <w:r w:rsidRPr="00D420E3">
        <w:rPr>
          <w:rFonts w:eastAsiaTheme="minorHAnsi"/>
          <w:b/>
          <w:sz w:val="24"/>
          <w:szCs w:val="24"/>
          <w:lang w:eastAsia="en-US"/>
        </w:rPr>
        <w:t xml:space="preserve">engagés à l’occasion de missions temporaires à l’étranger. </w:t>
      </w:r>
    </w:p>
    <w:p w:rsidR="00D420E3" w:rsidRPr="00D420E3" w:rsidRDefault="00D420E3" w:rsidP="00D420E3">
      <w:pPr>
        <w:spacing w:after="0"/>
        <w:rPr>
          <w:rFonts w:eastAsiaTheme="minorHAnsi"/>
          <w:b/>
          <w:sz w:val="8"/>
          <w:szCs w:val="8"/>
          <w:lang w:eastAsia="en-US"/>
        </w:rPr>
      </w:pPr>
    </w:p>
    <w:p w:rsidR="00D420E3" w:rsidRPr="00D420E3" w:rsidRDefault="00D420E3" w:rsidP="00D420E3">
      <w:pPr>
        <w:spacing w:after="0"/>
        <w:rPr>
          <w:rFonts w:eastAsiaTheme="minorHAnsi"/>
          <w:bCs/>
          <w:sz w:val="24"/>
          <w:szCs w:val="24"/>
          <w:lang w:eastAsia="en-US"/>
        </w:rPr>
      </w:pPr>
      <w:r w:rsidRPr="00D420E3">
        <w:rPr>
          <w:rFonts w:eastAsiaTheme="minorHAnsi"/>
          <w:b/>
          <w:sz w:val="24"/>
          <w:szCs w:val="24"/>
          <w:lang w:eastAsia="en-US"/>
        </w:rPr>
        <w:tab/>
      </w:r>
      <w:r w:rsidRPr="00D420E3">
        <w:rPr>
          <w:rFonts w:eastAsiaTheme="minorHAnsi"/>
          <w:bCs/>
          <w:sz w:val="24"/>
          <w:szCs w:val="24"/>
          <w:lang w:eastAsia="en-US"/>
        </w:rPr>
        <w:t xml:space="preserve">1-2Le cadre règlementaire    </w:t>
      </w:r>
    </w:p>
    <w:p w:rsidR="00D420E3" w:rsidRPr="00D420E3" w:rsidRDefault="00D420E3" w:rsidP="00D420E3">
      <w:pPr>
        <w:spacing w:after="0"/>
        <w:rPr>
          <w:rFonts w:eastAsiaTheme="minorHAnsi"/>
          <w:bCs/>
          <w:sz w:val="24"/>
          <w:szCs w:val="24"/>
          <w:lang w:eastAsia="en-US"/>
        </w:rPr>
      </w:pPr>
      <w:r w:rsidRPr="00D420E3">
        <w:rPr>
          <w:rFonts w:eastAsiaTheme="minorHAnsi"/>
          <w:bCs/>
          <w:sz w:val="24"/>
          <w:szCs w:val="24"/>
          <w:lang w:eastAsia="en-US"/>
        </w:rPr>
        <w:tab/>
        <w:t xml:space="preserve">1-3  Modalités pratiques          </w:t>
      </w:r>
    </w:p>
    <w:p w:rsidR="00D420E3" w:rsidRPr="00D420E3" w:rsidRDefault="00D420E3" w:rsidP="00D420E3">
      <w:pPr>
        <w:spacing w:after="0"/>
        <w:rPr>
          <w:rFonts w:eastAsiaTheme="minorHAnsi"/>
          <w:b/>
          <w:sz w:val="8"/>
          <w:szCs w:val="8"/>
          <w:lang w:eastAsia="en-US"/>
        </w:rPr>
      </w:pPr>
    </w:p>
    <w:p w:rsidR="00D420E3" w:rsidRPr="00D420E3" w:rsidRDefault="00D420E3" w:rsidP="00D420E3">
      <w:pPr>
        <w:spacing w:after="0"/>
        <w:rPr>
          <w:rFonts w:eastAsiaTheme="minorHAnsi"/>
          <w:b/>
          <w:sz w:val="8"/>
          <w:szCs w:val="8"/>
          <w:lang w:eastAsia="en-US"/>
        </w:rPr>
      </w:pPr>
    </w:p>
    <w:p w:rsidR="00D420E3" w:rsidRPr="00D420E3" w:rsidRDefault="00D420E3" w:rsidP="00D420E3">
      <w:pPr>
        <w:spacing w:after="0"/>
        <w:rPr>
          <w:rFonts w:eastAsiaTheme="minorHAnsi"/>
          <w:b/>
          <w:sz w:val="24"/>
          <w:szCs w:val="24"/>
          <w:lang w:eastAsia="en-US"/>
        </w:rPr>
      </w:pPr>
      <w:r w:rsidRPr="00D420E3">
        <w:rPr>
          <w:rFonts w:eastAsiaTheme="minorHAnsi"/>
          <w:b/>
          <w:sz w:val="24"/>
          <w:szCs w:val="24"/>
          <w:lang w:eastAsia="en-US"/>
        </w:rPr>
        <w:t xml:space="preserve">         2-  Droit de change pour hospitalisation d’une personne physique nationale</w:t>
      </w:r>
    </w:p>
    <w:p w:rsidR="00D420E3" w:rsidRPr="00D420E3" w:rsidRDefault="00D420E3" w:rsidP="00D420E3">
      <w:pPr>
        <w:spacing w:after="0"/>
        <w:rPr>
          <w:rFonts w:eastAsiaTheme="minorHAnsi"/>
          <w:b/>
          <w:sz w:val="24"/>
          <w:szCs w:val="24"/>
          <w:lang w:eastAsia="en-US"/>
        </w:rPr>
      </w:pPr>
      <w:r w:rsidRPr="00D420E3">
        <w:rPr>
          <w:rFonts w:eastAsiaTheme="minorHAnsi"/>
          <w:b/>
          <w:sz w:val="24"/>
          <w:szCs w:val="24"/>
          <w:lang w:eastAsia="en-US"/>
        </w:rPr>
        <w:t xml:space="preserve">résidente ainsi que le droit de change pour visite parentale à un malade  </w:t>
      </w:r>
    </w:p>
    <w:p w:rsidR="00D420E3" w:rsidRPr="00D420E3" w:rsidRDefault="00D420E3" w:rsidP="00D420E3">
      <w:pPr>
        <w:spacing w:after="0"/>
        <w:rPr>
          <w:rFonts w:eastAsiaTheme="minorHAnsi"/>
          <w:b/>
          <w:sz w:val="24"/>
          <w:szCs w:val="24"/>
          <w:lang w:eastAsia="en-US"/>
        </w:rPr>
      </w:pPr>
      <w:r w:rsidRPr="00D420E3">
        <w:rPr>
          <w:rFonts w:eastAsiaTheme="minorHAnsi"/>
          <w:b/>
          <w:sz w:val="24"/>
          <w:szCs w:val="24"/>
          <w:lang w:eastAsia="en-US"/>
        </w:rPr>
        <w:t xml:space="preserve">hospitalisé à l’étranger. </w:t>
      </w:r>
    </w:p>
    <w:p w:rsidR="00D420E3" w:rsidRPr="00D420E3" w:rsidRDefault="00D420E3" w:rsidP="00D420E3">
      <w:pPr>
        <w:spacing w:after="0"/>
        <w:rPr>
          <w:rFonts w:eastAsiaTheme="minorHAnsi"/>
          <w:b/>
          <w:sz w:val="8"/>
          <w:szCs w:val="8"/>
          <w:lang w:eastAsia="en-US"/>
        </w:rPr>
      </w:pPr>
    </w:p>
    <w:p w:rsidR="00D420E3" w:rsidRPr="00D420E3" w:rsidRDefault="00D420E3" w:rsidP="00D420E3">
      <w:pPr>
        <w:spacing w:after="0"/>
        <w:rPr>
          <w:rFonts w:eastAsiaTheme="minorHAnsi"/>
          <w:bCs/>
          <w:sz w:val="24"/>
          <w:szCs w:val="24"/>
          <w:lang w:eastAsia="en-US"/>
        </w:rPr>
      </w:pPr>
      <w:r w:rsidRPr="00D420E3">
        <w:rPr>
          <w:rFonts w:eastAsiaTheme="minorHAnsi"/>
          <w:b/>
          <w:sz w:val="24"/>
          <w:szCs w:val="24"/>
          <w:lang w:eastAsia="en-US"/>
        </w:rPr>
        <w:tab/>
      </w:r>
      <w:r w:rsidRPr="00D420E3">
        <w:rPr>
          <w:rFonts w:eastAsiaTheme="minorHAnsi"/>
          <w:bCs/>
          <w:sz w:val="24"/>
          <w:szCs w:val="24"/>
          <w:lang w:eastAsia="en-US"/>
        </w:rPr>
        <w:t xml:space="preserve">2-1  Le cadre règlementaire    </w:t>
      </w:r>
    </w:p>
    <w:p w:rsidR="00D420E3" w:rsidRPr="00D420E3" w:rsidRDefault="00D420E3" w:rsidP="00D420E3">
      <w:pPr>
        <w:spacing w:after="0"/>
        <w:rPr>
          <w:rFonts w:eastAsiaTheme="minorHAnsi"/>
          <w:bCs/>
          <w:sz w:val="24"/>
          <w:szCs w:val="24"/>
          <w:lang w:eastAsia="en-US"/>
        </w:rPr>
      </w:pPr>
      <w:r w:rsidRPr="00D420E3">
        <w:rPr>
          <w:rFonts w:eastAsiaTheme="minorHAnsi"/>
          <w:bCs/>
          <w:sz w:val="24"/>
          <w:szCs w:val="24"/>
          <w:lang w:eastAsia="en-US"/>
        </w:rPr>
        <w:tab/>
        <w:t xml:space="preserve">2-2  Modalités pratiques          </w:t>
      </w:r>
    </w:p>
    <w:p w:rsidR="00D420E3" w:rsidRPr="00D420E3" w:rsidRDefault="00D420E3" w:rsidP="00D420E3">
      <w:pPr>
        <w:spacing w:after="0"/>
        <w:rPr>
          <w:rFonts w:eastAsiaTheme="minorHAnsi"/>
          <w:b/>
          <w:sz w:val="8"/>
          <w:szCs w:val="8"/>
          <w:lang w:eastAsia="en-US"/>
        </w:rPr>
      </w:pPr>
    </w:p>
    <w:p w:rsidR="00D420E3" w:rsidRPr="00D420E3" w:rsidRDefault="00D420E3" w:rsidP="00D420E3">
      <w:pPr>
        <w:spacing w:after="0"/>
        <w:rPr>
          <w:rFonts w:eastAsiaTheme="minorHAnsi"/>
          <w:b/>
          <w:sz w:val="8"/>
          <w:szCs w:val="8"/>
          <w:lang w:eastAsia="en-US"/>
        </w:rPr>
      </w:pPr>
    </w:p>
    <w:p w:rsidR="00D420E3" w:rsidRPr="00D420E3" w:rsidRDefault="00D420E3" w:rsidP="00D420E3">
      <w:pPr>
        <w:spacing w:after="0"/>
        <w:rPr>
          <w:rFonts w:eastAsiaTheme="minorHAnsi"/>
          <w:b/>
          <w:sz w:val="24"/>
          <w:szCs w:val="24"/>
          <w:lang w:eastAsia="en-US"/>
        </w:rPr>
      </w:pPr>
      <w:r w:rsidRPr="00D420E3">
        <w:rPr>
          <w:rFonts w:eastAsiaTheme="minorHAnsi"/>
          <w:b/>
          <w:sz w:val="24"/>
          <w:szCs w:val="24"/>
          <w:lang w:eastAsia="en-US"/>
        </w:rPr>
        <w:t xml:space="preserve">        3-  Droit de change pour le rapatriement d’une dépouille mortelle d’une personne </w:t>
      </w:r>
    </w:p>
    <w:p w:rsidR="00D420E3" w:rsidRPr="00D420E3" w:rsidRDefault="00D420E3" w:rsidP="00D420E3">
      <w:pPr>
        <w:spacing w:after="0"/>
        <w:rPr>
          <w:rFonts w:eastAsiaTheme="minorHAnsi"/>
          <w:b/>
          <w:sz w:val="24"/>
          <w:szCs w:val="24"/>
          <w:lang w:eastAsia="en-US"/>
        </w:rPr>
      </w:pPr>
      <w:r w:rsidRPr="00D420E3">
        <w:rPr>
          <w:rFonts w:eastAsiaTheme="minorHAnsi"/>
          <w:b/>
          <w:sz w:val="24"/>
          <w:szCs w:val="24"/>
          <w:lang w:eastAsia="en-US"/>
        </w:rPr>
        <w:t xml:space="preserve">physique nationale résidente décédée à l’étranger. </w:t>
      </w:r>
    </w:p>
    <w:p w:rsidR="00D420E3" w:rsidRPr="00D420E3" w:rsidRDefault="00D420E3" w:rsidP="00D420E3">
      <w:pPr>
        <w:spacing w:after="0"/>
        <w:rPr>
          <w:rFonts w:eastAsiaTheme="minorHAnsi"/>
          <w:b/>
          <w:sz w:val="8"/>
          <w:szCs w:val="8"/>
          <w:lang w:eastAsia="en-US"/>
        </w:rPr>
      </w:pPr>
    </w:p>
    <w:p w:rsidR="00D420E3" w:rsidRPr="00D420E3" w:rsidRDefault="00D420E3" w:rsidP="00D420E3">
      <w:pPr>
        <w:spacing w:after="0"/>
        <w:rPr>
          <w:rFonts w:eastAsiaTheme="minorHAnsi"/>
          <w:bCs/>
          <w:sz w:val="24"/>
          <w:szCs w:val="24"/>
          <w:lang w:eastAsia="en-US"/>
        </w:rPr>
      </w:pPr>
      <w:r w:rsidRPr="00D420E3">
        <w:rPr>
          <w:rFonts w:eastAsiaTheme="minorHAnsi"/>
          <w:b/>
          <w:sz w:val="24"/>
          <w:szCs w:val="24"/>
          <w:lang w:eastAsia="en-US"/>
        </w:rPr>
        <w:tab/>
      </w:r>
      <w:r w:rsidRPr="00D420E3">
        <w:rPr>
          <w:rFonts w:eastAsiaTheme="minorHAnsi"/>
          <w:bCs/>
          <w:sz w:val="24"/>
          <w:szCs w:val="24"/>
          <w:lang w:eastAsia="en-US"/>
        </w:rPr>
        <w:t xml:space="preserve">3-1  Le cadre règlementaire    </w:t>
      </w:r>
    </w:p>
    <w:p w:rsidR="00D420E3" w:rsidRPr="00D420E3" w:rsidRDefault="00D420E3" w:rsidP="00D420E3">
      <w:pPr>
        <w:spacing w:after="0"/>
        <w:rPr>
          <w:rFonts w:eastAsiaTheme="minorHAnsi"/>
          <w:bCs/>
          <w:sz w:val="24"/>
          <w:szCs w:val="24"/>
          <w:lang w:eastAsia="en-US"/>
        </w:rPr>
      </w:pPr>
      <w:r w:rsidRPr="00D420E3">
        <w:rPr>
          <w:rFonts w:eastAsiaTheme="minorHAnsi"/>
          <w:bCs/>
          <w:sz w:val="24"/>
          <w:szCs w:val="24"/>
          <w:lang w:eastAsia="en-US"/>
        </w:rPr>
        <w:tab/>
        <w:t xml:space="preserve">3-2  Modalités pratiques          </w:t>
      </w:r>
    </w:p>
    <w:p w:rsidR="00D420E3" w:rsidRPr="00D420E3" w:rsidRDefault="00D420E3" w:rsidP="00D420E3">
      <w:pPr>
        <w:spacing w:after="0"/>
        <w:rPr>
          <w:rFonts w:eastAsiaTheme="minorHAnsi"/>
          <w:b/>
          <w:sz w:val="16"/>
          <w:szCs w:val="16"/>
          <w:lang w:eastAsia="en-US"/>
        </w:rPr>
      </w:pPr>
    </w:p>
    <w:p w:rsidR="00D420E3" w:rsidRPr="00D420E3" w:rsidRDefault="00D420E3" w:rsidP="00D420E3">
      <w:pPr>
        <w:spacing w:after="0"/>
        <w:rPr>
          <w:rFonts w:eastAsiaTheme="minorHAnsi"/>
          <w:b/>
          <w:sz w:val="24"/>
          <w:szCs w:val="24"/>
          <w:lang w:eastAsia="en-US"/>
        </w:rPr>
      </w:pPr>
      <w:r w:rsidRPr="00D420E3">
        <w:rPr>
          <w:rFonts w:eastAsiaTheme="minorHAnsi"/>
          <w:b/>
          <w:sz w:val="24"/>
          <w:szCs w:val="24"/>
          <w:lang w:eastAsia="en-US"/>
        </w:rPr>
        <w:t xml:space="preserve">        4-  Droit de change au profit des nationaux résidants poursuivant une scolarité à   </w:t>
      </w:r>
    </w:p>
    <w:p w:rsidR="00D420E3" w:rsidRPr="00D420E3" w:rsidRDefault="00D420E3" w:rsidP="00D420E3">
      <w:pPr>
        <w:spacing w:after="0"/>
        <w:rPr>
          <w:rFonts w:eastAsiaTheme="minorHAnsi"/>
          <w:b/>
          <w:sz w:val="24"/>
          <w:szCs w:val="24"/>
          <w:lang w:eastAsia="en-US"/>
        </w:rPr>
      </w:pPr>
      <w:r w:rsidRPr="00D420E3">
        <w:rPr>
          <w:rFonts w:eastAsiaTheme="minorHAnsi"/>
          <w:b/>
          <w:sz w:val="24"/>
          <w:szCs w:val="24"/>
          <w:lang w:eastAsia="en-US"/>
        </w:rPr>
        <w:t>l’étranger de la cession (totale ou partielle) de parts sociales</w:t>
      </w:r>
    </w:p>
    <w:p w:rsidR="00D420E3" w:rsidRPr="00D420E3" w:rsidRDefault="00D420E3" w:rsidP="00D420E3">
      <w:pPr>
        <w:spacing w:after="0"/>
        <w:rPr>
          <w:rFonts w:eastAsiaTheme="minorHAnsi"/>
          <w:b/>
          <w:sz w:val="8"/>
          <w:szCs w:val="8"/>
          <w:lang w:eastAsia="en-US"/>
        </w:rPr>
      </w:pPr>
    </w:p>
    <w:p w:rsidR="00D420E3" w:rsidRPr="00D420E3" w:rsidRDefault="00D420E3" w:rsidP="00D420E3">
      <w:pPr>
        <w:spacing w:after="0"/>
        <w:rPr>
          <w:rFonts w:eastAsiaTheme="minorHAnsi"/>
          <w:bCs/>
          <w:sz w:val="24"/>
          <w:szCs w:val="24"/>
          <w:lang w:eastAsia="en-US"/>
        </w:rPr>
      </w:pPr>
      <w:r w:rsidRPr="00D420E3">
        <w:rPr>
          <w:rFonts w:eastAsiaTheme="minorHAnsi"/>
          <w:b/>
          <w:sz w:val="24"/>
          <w:szCs w:val="24"/>
          <w:lang w:eastAsia="en-US"/>
        </w:rPr>
        <w:tab/>
      </w:r>
      <w:r w:rsidRPr="00D420E3">
        <w:rPr>
          <w:rFonts w:eastAsiaTheme="minorHAnsi"/>
          <w:bCs/>
          <w:sz w:val="24"/>
          <w:szCs w:val="24"/>
          <w:lang w:eastAsia="en-US"/>
        </w:rPr>
        <w:t xml:space="preserve">4-1  Le cadre règlementaire    </w:t>
      </w:r>
    </w:p>
    <w:p w:rsidR="00D420E3" w:rsidRPr="00D420E3" w:rsidRDefault="00D420E3" w:rsidP="00D420E3">
      <w:pPr>
        <w:spacing w:after="0"/>
        <w:rPr>
          <w:rFonts w:eastAsiaTheme="minorHAnsi"/>
          <w:sz w:val="24"/>
          <w:szCs w:val="24"/>
          <w:lang w:eastAsia="en-US"/>
        </w:rPr>
      </w:pPr>
      <w:r w:rsidRPr="00D420E3">
        <w:rPr>
          <w:rFonts w:eastAsiaTheme="minorHAnsi"/>
          <w:bCs/>
          <w:sz w:val="24"/>
          <w:szCs w:val="24"/>
          <w:lang w:eastAsia="en-US"/>
        </w:rPr>
        <w:tab/>
        <w:t xml:space="preserve">4-2  Modalités pratiques    </w:t>
      </w:r>
    </w:p>
    <w:p w:rsidR="00D420E3" w:rsidRPr="00D420E3" w:rsidRDefault="00D420E3" w:rsidP="00D420E3">
      <w:pPr>
        <w:spacing w:after="0"/>
        <w:rPr>
          <w:rFonts w:eastAsiaTheme="minorHAnsi"/>
          <w:b/>
          <w:sz w:val="16"/>
          <w:szCs w:val="16"/>
          <w:lang w:eastAsia="en-US"/>
        </w:rPr>
      </w:pPr>
    </w:p>
    <w:p w:rsidR="00D420E3" w:rsidRPr="00D420E3" w:rsidRDefault="00D420E3" w:rsidP="00D420E3">
      <w:pPr>
        <w:spacing w:after="0"/>
        <w:rPr>
          <w:rFonts w:eastAsiaTheme="minorHAnsi"/>
          <w:b/>
          <w:sz w:val="24"/>
          <w:szCs w:val="24"/>
          <w:lang w:eastAsia="en-US"/>
        </w:rPr>
      </w:pPr>
      <w:r w:rsidRPr="00D420E3">
        <w:rPr>
          <w:rFonts w:eastAsiaTheme="minorHAnsi"/>
          <w:b/>
          <w:sz w:val="24"/>
          <w:szCs w:val="24"/>
          <w:lang w:eastAsia="en-US"/>
        </w:rPr>
        <w:lastRenderedPageBreak/>
        <w:t xml:space="preserve">        5-  Droit de change formation à l’étranger</w:t>
      </w:r>
    </w:p>
    <w:p w:rsidR="00D420E3" w:rsidRPr="00D420E3" w:rsidRDefault="00D420E3" w:rsidP="00D420E3">
      <w:pPr>
        <w:spacing w:after="0"/>
        <w:rPr>
          <w:rFonts w:eastAsiaTheme="minorHAnsi"/>
          <w:b/>
          <w:sz w:val="8"/>
          <w:szCs w:val="8"/>
          <w:lang w:eastAsia="en-US"/>
        </w:rPr>
      </w:pPr>
    </w:p>
    <w:p w:rsidR="00D420E3" w:rsidRPr="00D420E3" w:rsidRDefault="00D420E3" w:rsidP="00D420E3">
      <w:pPr>
        <w:spacing w:after="0"/>
        <w:rPr>
          <w:rFonts w:eastAsiaTheme="minorHAnsi"/>
          <w:bCs/>
          <w:sz w:val="24"/>
          <w:szCs w:val="24"/>
          <w:lang w:eastAsia="en-US"/>
        </w:rPr>
      </w:pPr>
      <w:r w:rsidRPr="00D420E3">
        <w:rPr>
          <w:rFonts w:eastAsiaTheme="minorHAnsi"/>
          <w:b/>
          <w:sz w:val="24"/>
          <w:szCs w:val="24"/>
          <w:lang w:eastAsia="en-US"/>
        </w:rPr>
        <w:tab/>
      </w:r>
      <w:r w:rsidRPr="00D420E3">
        <w:rPr>
          <w:rFonts w:eastAsiaTheme="minorHAnsi"/>
          <w:bCs/>
          <w:sz w:val="24"/>
          <w:szCs w:val="24"/>
          <w:lang w:eastAsia="en-US"/>
        </w:rPr>
        <w:t xml:space="preserve">5-1  Le cadre règlementaire    </w:t>
      </w:r>
    </w:p>
    <w:p w:rsidR="00D420E3" w:rsidRPr="00D420E3" w:rsidRDefault="00D420E3" w:rsidP="00D420E3">
      <w:pPr>
        <w:spacing w:after="0"/>
        <w:rPr>
          <w:rFonts w:eastAsiaTheme="minorHAnsi"/>
          <w:sz w:val="24"/>
          <w:szCs w:val="24"/>
          <w:lang w:eastAsia="en-US"/>
        </w:rPr>
      </w:pPr>
      <w:r w:rsidRPr="00D420E3">
        <w:rPr>
          <w:rFonts w:eastAsiaTheme="minorHAnsi"/>
          <w:bCs/>
          <w:sz w:val="24"/>
          <w:szCs w:val="24"/>
          <w:lang w:eastAsia="en-US"/>
        </w:rPr>
        <w:tab/>
        <w:t xml:space="preserve">5-2  Modalités pratiques    </w:t>
      </w:r>
    </w:p>
    <w:p w:rsidR="00AA4266" w:rsidRPr="005F280C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bookmarkStart w:id="0" w:name="_GoBack"/>
      <w:bookmarkEnd w:id="0"/>
    </w:p>
    <w:sectPr w:rsidR="00AA4266" w:rsidRPr="005F280C" w:rsidSect="00E62D87">
      <w:footerReference w:type="default" r:id="rId12"/>
      <w:pgSz w:w="11906" w:h="16838"/>
      <w:pgMar w:top="567" w:right="1134" w:bottom="709" w:left="113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56B" w:rsidRDefault="0044656B" w:rsidP="00DC4419">
      <w:pPr>
        <w:spacing w:after="0" w:line="240" w:lineRule="auto"/>
      </w:pPr>
      <w:r>
        <w:separator/>
      </w:r>
    </w:p>
  </w:endnote>
  <w:endnote w:type="continuationSeparator" w:id="1">
    <w:p w:rsidR="0044656B" w:rsidRDefault="0044656B" w:rsidP="00DC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ypatiaSansPro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19" w:rsidRPr="00DC4419" w:rsidRDefault="00DC4419" w:rsidP="00DC4419">
    <w:pPr>
      <w:tabs>
        <w:tab w:val="center" w:pos="4176"/>
        <w:tab w:val="left" w:pos="6570"/>
      </w:tabs>
      <w:spacing w:line="240" w:lineRule="auto"/>
      <w:ind w:left="-720"/>
      <w:rPr>
        <w:lang w:val="en-US"/>
      </w:rPr>
    </w:pPr>
    <w:r>
      <w:rPr>
        <w:rFonts w:ascii="Cambria" w:hAnsi="Cambria" w:cs="Arial"/>
        <w:b/>
        <w:bCs/>
        <w:iCs/>
        <w:lang w:val="pt-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56B" w:rsidRDefault="0044656B" w:rsidP="00DC4419">
      <w:pPr>
        <w:spacing w:after="0" w:line="240" w:lineRule="auto"/>
      </w:pPr>
      <w:r>
        <w:separator/>
      </w:r>
    </w:p>
  </w:footnote>
  <w:footnote w:type="continuationSeparator" w:id="1">
    <w:p w:rsidR="0044656B" w:rsidRDefault="0044656B" w:rsidP="00DC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7BB"/>
    <w:multiLevelType w:val="hybridMultilevel"/>
    <w:tmpl w:val="0858842A"/>
    <w:lvl w:ilvl="0" w:tplc="CDEA3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577CE"/>
    <w:multiLevelType w:val="hybridMultilevel"/>
    <w:tmpl w:val="EFC857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20F5B"/>
    <w:multiLevelType w:val="hybridMultilevel"/>
    <w:tmpl w:val="B442DC70"/>
    <w:lvl w:ilvl="0" w:tplc="97C014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707D6"/>
    <w:multiLevelType w:val="hybridMultilevel"/>
    <w:tmpl w:val="83B06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E352E"/>
    <w:multiLevelType w:val="hybridMultilevel"/>
    <w:tmpl w:val="1D049EA8"/>
    <w:lvl w:ilvl="0" w:tplc="5B16D190">
      <w:numFmt w:val="bullet"/>
      <w:lvlText w:val="-"/>
      <w:lvlJc w:val="left"/>
      <w:pPr>
        <w:ind w:left="1461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5">
    <w:nsid w:val="25E2170C"/>
    <w:multiLevelType w:val="hybridMultilevel"/>
    <w:tmpl w:val="9CFE6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51D30"/>
    <w:multiLevelType w:val="hybridMultilevel"/>
    <w:tmpl w:val="D5245A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6409E"/>
    <w:multiLevelType w:val="hybridMultilevel"/>
    <w:tmpl w:val="5C06CEDE"/>
    <w:lvl w:ilvl="0" w:tplc="97C014D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9716D1"/>
    <w:multiLevelType w:val="hybridMultilevel"/>
    <w:tmpl w:val="03D421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26869"/>
    <w:multiLevelType w:val="hybridMultilevel"/>
    <w:tmpl w:val="A6162D5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54AA544D"/>
    <w:multiLevelType w:val="hybridMultilevel"/>
    <w:tmpl w:val="CC2AE816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35554"/>
    <w:multiLevelType w:val="hybridMultilevel"/>
    <w:tmpl w:val="6A90B5A0"/>
    <w:lvl w:ilvl="0" w:tplc="04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5F2020C5"/>
    <w:multiLevelType w:val="hybridMultilevel"/>
    <w:tmpl w:val="C6286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1292D"/>
    <w:multiLevelType w:val="hybridMultilevel"/>
    <w:tmpl w:val="9D5EA642"/>
    <w:lvl w:ilvl="0" w:tplc="040C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6C2A4C7D"/>
    <w:multiLevelType w:val="hybridMultilevel"/>
    <w:tmpl w:val="5EDC9322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7ABD08E1"/>
    <w:multiLevelType w:val="hybridMultilevel"/>
    <w:tmpl w:val="C2A2448C"/>
    <w:lvl w:ilvl="0" w:tplc="97C014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97C014D4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12"/>
  </w:num>
  <w:num w:numId="7">
    <w:abstractNumId w:val="13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1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F86"/>
    <w:rsid w:val="0002684A"/>
    <w:rsid w:val="00026D72"/>
    <w:rsid w:val="0004038C"/>
    <w:rsid w:val="000623B5"/>
    <w:rsid w:val="0006368B"/>
    <w:rsid w:val="00066C42"/>
    <w:rsid w:val="000704AB"/>
    <w:rsid w:val="00072A33"/>
    <w:rsid w:val="00086D78"/>
    <w:rsid w:val="00095F6F"/>
    <w:rsid w:val="000D40DC"/>
    <w:rsid w:val="000E7FC4"/>
    <w:rsid w:val="000F64C2"/>
    <w:rsid w:val="00114209"/>
    <w:rsid w:val="0014462C"/>
    <w:rsid w:val="00147FF1"/>
    <w:rsid w:val="00192203"/>
    <w:rsid w:val="00195A85"/>
    <w:rsid w:val="001A0622"/>
    <w:rsid w:val="001C459B"/>
    <w:rsid w:val="001D3F6F"/>
    <w:rsid w:val="001E19A1"/>
    <w:rsid w:val="001E357D"/>
    <w:rsid w:val="002135BD"/>
    <w:rsid w:val="002218A2"/>
    <w:rsid w:val="002241E5"/>
    <w:rsid w:val="00230DE1"/>
    <w:rsid w:val="00263FFE"/>
    <w:rsid w:val="00265626"/>
    <w:rsid w:val="00274222"/>
    <w:rsid w:val="00282459"/>
    <w:rsid w:val="00284E84"/>
    <w:rsid w:val="002B6064"/>
    <w:rsid w:val="002C26F4"/>
    <w:rsid w:val="002D7D19"/>
    <w:rsid w:val="002F4F25"/>
    <w:rsid w:val="00302D6A"/>
    <w:rsid w:val="003131F2"/>
    <w:rsid w:val="0032034B"/>
    <w:rsid w:val="0033228A"/>
    <w:rsid w:val="003436C9"/>
    <w:rsid w:val="00356BFD"/>
    <w:rsid w:val="0036634B"/>
    <w:rsid w:val="00374D9A"/>
    <w:rsid w:val="0038658F"/>
    <w:rsid w:val="00396ED0"/>
    <w:rsid w:val="003A092B"/>
    <w:rsid w:val="003B0ECF"/>
    <w:rsid w:val="003B537C"/>
    <w:rsid w:val="003C4CF6"/>
    <w:rsid w:val="003D41AD"/>
    <w:rsid w:val="003D56E4"/>
    <w:rsid w:val="003F51F9"/>
    <w:rsid w:val="003F64E0"/>
    <w:rsid w:val="004305E8"/>
    <w:rsid w:val="00432540"/>
    <w:rsid w:val="0044656B"/>
    <w:rsid w:val="00452C5D"/>
    <w:rsid w:val="00472617"/>
    <w:rsid w:val="00476A4B"/>
    <w:rsid w:val="004778F8"/>
    <w:rsid w:val="0048263B"/>
    <w:rsid w:val="00487145"/>
    <w:rsid w:val="004951EE"/>
    <w:rsid w:val="004E1C4C"/>
    <w:rsid w:val="004E1EDB"/>
    <w:rsid w:val="004E5072"/>
    <w:rsid w:val="00516E9D"/>
    <w:rsid w:val="00523077"/>
    <w:rsid w:val="005340DA"/>
    <w:rsid w:val="00560977"/>
    <w:rsid w:val="00561F27"/>
    <w:rsid w:val="00572B5D"/>
    <w:rsid w:val="005A1BFA"/>
    <w:rsid w:val="005A7493"/>
    <w:rsid w:val="005B77FE"/>
    <w:rsid w:val="00632D83"/>
    <w:rsid w:val="00635F86"/>
    <w:rsid w:val="00651214"/>
    <w:rsid w:val="00657B0E"/>
    <w:rsid w:val="00657DF1"/>
    <w:rsid w:val="006849C1"/>
    <w:rsid w:val="00695E44"/>
    <w:rsid w:val="006B2B74"/>
    <w:rsid w:val="006C189A"/>
    <w:rsid w:val="006C1B26"/>
    <w:rsid w:val="006D2219"/>
    <w:rsid w:val="006E5B43"/>
    <w:rsid w:val="006F79F3"/>
    <w:rsid w:val="007022DE"/>
    <w:rsid w:val="007270DA"/>
    <w:rsid w:val="00751309"/>
    <w:rsid w:val="007528F4"/>
    <w:rsid w:val="007751A1"/>
    <w:rsid w:val="00780F54"/>
    <w:rsid w:val="00783C60"/>
    <w:rsid w:val="00792499"/>
    <w:rsid w:val="00792DE2"/>
    <w:rsid w:val="007A1D8B"/>
    <w:rsid w:val="007C64AC"/>
    <w:rsid w:val="007F017A"/>
    <w:rsid w:val="007F2A45"/>
    <w:rsid w:val="00801132"/>
    <w:rsid w:val="00810581"/>
    <w:rsid w:val="00811270"/>
    <w:rsid w:val="0081727D"/>
    <w:rsid w:val="008304D5"/>
    <w:rsid w:val="0086535A"/>
    <w:rsid w:val="008917A0"/>
    <w:rsid w:val="008C7277"/>
    <w:rsid w:val="009035C0"/>
    <w:rsid w:val="00904170"/>
    <w:rsid w:val="00920338"/>
    <w:rsid w:val="00952C6B"/>
    <w:rsid w:val="00986084"/>
    <w:rsid w:val="009A0187"/>
    <w:rsid w:val="009A47CA"/>
    <w:rsid w:val="009C5513"/>
    <w:rsid w:val="009C65DE"/>
    <w:rsid w:val="009C6EF9"/>
    <w:rsid w:val="009F3D16"/>
    <w:rsid w:val="00A0404C"/>
    <w:rsid w:val="00A25E10"/>
    <w:rsid w:val="00A2791E"/>
    <w:rsid w:val="00A33BD0"/>
    <w:rsid w:val="00A449F4"/>
    <w:rsid w:val="00A54982"/>
    <w:rsid w:val="00A556B7"/>
    <w:rsid w:val="00A56576"/>
    <w:rsid w:val="00A75AE4"/>
    <w:rsid w:val="00A96EE1"/>
    <w:rsid w:val="00AA4266"/>
    <w:rsid w:val="00AB41E9"/>
    <w:rsid w:val="00AC2E8F"/>
    <w:rsid w:val="00AD3700"/>
    <w:rsid w:val="00AF50CB"/>
    <w:rsid w:val="00B06534"/>
    <w:rsid w:val="00B446DA"/>
    <w:rsid w:val="00B74252"/>
    <w:rsid w:val="00B832BA"/>
    <w:rsid w:val="00BA65DF"/>
    <w:rsid w:val="00BB0D93"/>
    <w:rsid w:val="00BC10F2"/>
    <w:rsid w:val="00BC1B0C"/>
    <w:rsid w:val="00BD148E"/>
    <w:rsid w:val="00BD4002"/>
    <w:rsid w:val="00BE43FC"/>
    <w:rsid w:val="00BE49C4"/>
    <w:rsid w:val="00C04939"/>
    <w:rsid w:val="00C166A5"/>
    <w:rsid w:val="00C235FB"/>
    <w:rsid w:val="00C2544F"/>
    <w:rsid w:val="00C27016"/>
    <w:rsid w:val="00C31501"/>
    <w:rsid w:val="00C446C0"/>
    <w:rsid w:val="00C7313F"/>
    <w:rsid w:val="00C84E77"/>
    <w:rsid w:val="00C97746"/>
    <w:rsid w:val="00CA5663"/>
    <w:rsid w:val="00CB5F89"/>
    <w:rsid w:val="00CC1E56"/>
    <w:rsid w:val="00CC1F21"/>
    <w:rsid w:val="00CE15B6"/>
    <w:rsid w:val="00CE3729"/>
    <w:rsid w:val="00D00AB4"/>
    <w:rsid w:val="00D01B04"/>
    <w:rsid w:val="00D076D8"/>
    <w:rsid w:val="00D216A5"/>
    <w:rsid w:val="00D243AE"/>
    <w:rsid w:val="00D420E3"/>
    <w:rsid w:val="00D42560"/>
    <w:rsid w:val="00D71F4D"/>
    <w:rsid w:val="00D85B2C"/>
    <w:rsid w:val="00D95D70"/>
    <w:rsid w:val="00DA2137"/>
    <w:rsid w:val="00DA6F8B"/>
    <w:rsid w:val="00DB1B91"/>
    <w:rsid w:val="00DC22F6"/>
    <w:rsid w:val="00DC4419"/>
    <w:rsid w:val="00E62D87"/>
    <w:rsid w:val="00EB706C"/>
    <w:rsid w:val="00ED0B1C"/>
    <w:rsid w:val="00ED2FC9"/>
    <w:rsid w:val="00F124A4"/>
    <w:rsid w:val="00F230DD"/>
    <w:rsid w:val="00F25FA6"/>
    <w:rsid w:val="00F329C1"/>
    <w:rsid w:val="00F51086"/>
    <w:rsid w:val="00F51CC9"/>
    <w:rsid w:val="00F70CE3"/>
    <w:rsid w:val="00F75045"/>
    <w:rsid w:val="00FC1BFB"/>
    <w:rsid w:val="00FD7AF8"/>
    <w:rsid w:val="00FE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38"/>
  </w:style>
  <w:style w:type="paragraph" w:styleId="Titre1">
    <w:name w:val="heading 1"/>
    <w:basedOn w:val="Normal"/>
    <w:next w:val="Normal"/>
    <w:link w:val="Titre1Car"/>
    <w:uiPriority w:val="99"/>
    <w:qFormat/>
    <w:rsid w:val="00F329C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96"/>
      <w:szCs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329C1"/>
    <w:rPr>
      <w:rFonts w:ascii="Arial" w:eastAsia="Times New Roman" w:hAnsi="Arial" w:cs="Arial"/>
      <w:b/>
      <w:bCs/>
      <w:sz w:val="96"/>
      <w:szCs w:val="96"/>
    </w:rPr>
  </w:style>
  <w:style w:type="paragraph" w:styleId="Paragraphedeliste">
    <w:name w:val="List Paragraph"/>
    <w:basedOn w:val="Normal"/>
    <w:uiPriority w:val="34"/>
    <w:qFormat/>
    <w:rsid w:val="00F329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4419"/>
  </w:style>
  <w:style w:type="paragraph" w:styleId="Pieddepage">
    <w:name w:val="footer"/>
    <w:basedOn w:val="Normal"/>
    <w:link w:val="PieddepageCar"/>
    <w:uiPriority w:val="99"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419"/>
  </w:style>
  <w:style w:type="character" w:styleId="Lienhypertexte">
    <w:name w:val="Hyperlink"/>
    <w:basedOn w:val="Policepardfaut"/>
    <w:rsid w:val="00DC44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C6B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AA4266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074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fa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gfa.d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CD63-DCB1-4EA5-880F-8E377CFA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Nawel KAOUS</dc:creator>
  <cp:lastModifiedBy>naima</cp:lastModifiedBy>
  <cp:revision>2</cp:revision>
  <cp:lastPrinted>2016-11-13T09:05:00Z</cp:lastPrinted>
  <dcterms:created xsi:type="dcterms:W3CDTF">2018-10-31T16:21:00Z</dcterms:created>
  <dcterms:modified xsi:type="dcterms:W3CDTF">2018-10-31T16:21:00Z</dcterms:modified>
</cp:coreProperties>
</file>