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25E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ComplexeWakfHaï El Kiram</w:t>
      </w:r>
    </w:p>
    <w:p w:rsidR="00E62D87" w:rsidRPr="00E642C1" w:rsidRDefault="00C5425E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C5425E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C5425E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C5425E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C5425E" w:rsidP="00E62D87">
      <w:r w:rsidRPr="00C5425E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43.35pt;height:60.45pt;z-index:-251655168" strokecolor="#c00000">
            <v:textbox style="mso-next-textbox:#_x0000_s1027">
              <w:txbxContent>
                <w:p w:rsidR="0092062C" w:rsidRDefault="00E671E2" w:rsidP="001E7A6B">
                  <w:pPr>
                    <w:jc w:val="center"/>
                    <w:rPr>
                      <w:rFonts w:asciiTheme="majorHAnsi" w:hAnsiTheme="majorHAnsi"/>
                    </w:rPr>
                  </w:pPr>
                  <w:r w:rsidRPr="001E7A6B">
                    <w:rPr>
                      <w:rFonts w:asciiTheme="majorHAnsi" w:eastAsia="Times New Roman" w:hAnsiTheme="majorHAnsi" w:cs="Andalus"/>
                      <w:b/>
                      <w:bCs/>
                      <w:kern w:val="36"/>
                      <w:sz w:val="32"/>
                      <w:szCs w:val="32"/>
                    </w:rPr>
                    <w:t>La négociation collective en droit Algérien</w:t>
                  </w:r>
                </w:p>
                <w:p w:rsidR="001E7A6B" w:rsidRPr="001E7A6B" w:rsidRDefault="001E7A6B" w:rsidP="001E7A6B">
                  <w:pPr>
                    <w:jc w:val="center"/>
                    <w:rPr>
                      <w:rFonts w:asciiTheme="majorHAnsi" w:hAnsiTheme="majorHAnsi"/>
                    </w:rPr>
                  </w:pPr>
                  <w:r w:rsidRPr="001E7A6B">
                    <w:rPr>
                      <w:b/>
                      <w:bCs/>
                      <w:sz w:val="24"/>
                      <w:szCs w:val="24"/>
                    </w:rPr>
                    <w:t>L</w:t>
                  </w:r>
                  <w:bookmarkStart w:id="0" w:name="_GoBack"/>
                  <w:bookmarkEnd w:id="0"/>
                  <w:r w:rsidRPr="001E7A6B">
                    <w:rPr>
                      <w:b/>
                      <w:bCs/>
                      <w:sz w:val="24"/>
                      <w:szCs w:val="24"/>
                    </w:rPr>
                    <w:t>e :</w:t>
                  </w:r>
                  <w:r w:rsidRPr="001E7A6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 28</w:t>
                  </w:r>
                  <w:r w:rsidRPr="00B158DF">
                    <w:rPr>
                      <w:b/>
                      <w:bCs/>
                      <w:sz w:val="24"/>
                      <w:szCs w:val="24"/>
                    </w:rPr>
                    <w:t>NOVEMBRE 2018</w:t>
                  </w:r>
                </w:p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C5425E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C5425E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E671E2">
                    <w:rPr>
                      <w:rFonts w:asciiTheme="majorHAnsi" w:hAnsiTheme="majorHAnsi"/>
                      <w:color w:val="C00000"/>
                    </w:rPr>
                    <w:t xml:space="preserve">1 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E671E2" w:rsidRPr="00B5505E" w:rsidRDefault="00E671E2" w:rsidP="00E671E2">
      <w:pPr>
        <w:rPr>
          <w:rFonts w:ascii="Andalus" w:eastAsia="Times New Roman" w:hAnsi="Andalus" w:cs="Andalus"/>
          <w:b/>
          <w:bCs/>
          <w:kern w:val="36"/>
          <w:sz w:val="32"/>
          <w:szCs w:val="32"/>
        </w:rPr>
      </w:pPr>
      <w:r w:rsidRPr="00B5505E">
        <w:rPr>
          <w:rFonts w:ascii="Andalus" w:eastAsia="Times New Roman" w:hAnsi="Andalus" w:cs="Andalus"/>
          <w:b/>
          <w:bCs/>
          <w:kern w:val="36"/>
          <w:sz w:val="32"/>
          <w:szCs w:val="32"/>
        </w:rPr>
        <w:t>.</w:t>
      </w:r>
    </w:p>
    <w:p w:rsidR="00E671E2" w:rsidRPr="00B5505E" w:rsidRDefault="00E671E2" w:rsidP="00E671E2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E671E2" w:rsidRPr="00B5505E" w:rsidRDefault="00E671E2" w:rsidP="00E671E2">
      <w:pPr>
        <w:rPr>
          <w:sz w:val="28"/>
          <w:szCs w:val="28"/>
        </w:rPr>
      </w:pPr>
      <w:r w:rsidRPr="00B5505E">
        <w:rPr>
          <w:rFonts w:ascii="Tahoma" w:eastAsia="Times New Roman" w:hAnsi="Tahoma" w:cs="Tahoma"/>
          <w:b/>
          <w:bCs/>
          <w:sz w:val="28"/>
        </w:rPr>
        <w:t>Objectifs </w:t>
      </w:r>
      <w:r w:rsidRPr="00B5505E">
        <w:rPr>
          <w:sz w:val="28"/>
          <w:szCs w:val="28"/>
        </w:rPr>
        <w:t>:</w:t>
      </w:r>
    </w:p>
    <w:p w:rsidR="00E671E2" w:rsidRPr="00B5505E" w:rsidRDefault="00E671E2" w:rsidP="00E671E2">
      <w:pPr>
        <w:rPr>
          <w:sz w:val="28"/>
          <w:szCs w:val="28"/>
        </w:rPr>
      </w:pP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B5505E">
        <w:rPr>
          <w:sz w:val="28"/>
          <w:szCs w:val="28"/>
        </w:rPr>
        <w:t>Maitriser les règles juridiques et les techniques du dialogue social.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B5505E">
        <w:rPr>
          <w:sz w:val="28"/>
          <w:szCs w:val="28"/>
        </w:rPr>
        <w:t>Comprendre le principe de la négociation collective, afin de pouvoir mettre en place une stratégie de négociation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B5505E">
        <w:rPr>
          <w:sz w:val="28"/>
          <w:szCs w:val="28"/>
        </w:rPr>
        <w:t>Comprendre les fondamentaux du droit du travail et ce  pour une utilisation concrète au quotidien.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B5505E">
        <w:rPr>
          <w:sz w:val="28"/>
          <w:szCs w:val="28"/>
        </w:rPr>
        <w:t>Sécuriser les pratiques de management vis-à-vis des prescriptions de la législation du travail</w:t>
      </w:r>
    </w:p>
    <w:p w:rsidR="00E671E2" w:rsidRPr="00B5505E" w:rsidRDefault="00E671E2" w:rsidP="00E671E2"/>
    <w:p w:rsidR="00E671E2" w:rsidRPr="00B5505E" w:rsidRDefault="00E671E2" w:rsidP="00E671E2">
      <w:r w:rsidRPr="00B5505E">
        <w:rPr>
          <w:rFonts w:ascii="Tahoma" w:eastAsia="Times New Roman" w:hAnsi="Tahoma" w:cs="Tahoma"/>
          <w:b/>
          <w:bCs/>
          <w:sz w:val="28"/>
        </w:rPr>
        <w:t>Public ciblé</w:t>
      </w:r>
      <w:r w:rsidRPr="00B5505E">
        <w:rPr>
          <w:sz w:val="28"/>
          <w:szCs w:val="28"/>
        </w:rPr>
        <w:t> :</w:t>
      </w:r>
    </w:p>
    <w:p w:rsidR="00E671E2" w:rsidRPr="00B5505E" w:rsidRDefault="00E671E2" w:rsidP="00E671E2"/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 xml:space="preserve">Directeurs des ressources humaines.  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Directeurs des affaires juridiques et du contentieux.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Juristes.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Responsables des ressources humaines.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Délégués syndicaux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B5505E">
        <w:rPr>
          <w:rFonts w:ascii="Tahoma" w:eastAsia="Times New Roman" w:hAnsi="Tahoma" w:cs="Tahoma"/>
          <w:sz w:val="24"/>
          <w:szCs w:val="24"/>
        </w:rPr>
        <w:t>Délégués du personnel</w:t>
      </w:r>
      <w:r w:rsidRPr="00B5505E">
        <w:rPr>
          <w:sz w:val="28"/>
          <w:szCs w:val="28"/>
        </w:rPr>
        <w:t>.</w:t>
      </w:r>
    </w:p>
    <w:p w:rsidR="00E671E2" w:rsidRPr="00B5505E" w:rsidRDefault="00E671E2" w:rsidP="00E671E2"/>
    <w:p w:rsidR="00E671E2" w:rsidRPr="00B5505E" w:rsidRDefault="00E671E2" w:rsidP="00E671E2">
      <w:p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</w:rPr>
      </w:pPr>
      <w:r w:rsidRPr="00B5505E">
        <w:rPr>
          <w:rFonts w:ascii="Tahoma" w:eastAsia="Times New Roman" w:hAnsi="Tahoma" w:cs="Tahoma"/>
          <w:b/>
          <w:bCs/>
          <w:sz w:val="28"/>
        </w:rPr>
        <w:t>Support et méthode pédagogique :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  L’animateur va privilégier et adopter une méthode et approche participative et interactive.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  Support écrit et numérisé.</w:t>
      </w:r>
    </w:p>
    <w:p w:rsidR="00E671E2" w:rsidRPr="00B5505E" w:rsidRDefault="00E671E2" w:rsidP="00E671E2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B5505E">
        <w:rPr>
          <w:rFonts w:ascii="Tahoma" w:eastAsia="Times New Roman" w:hAnsi="Tahoma" w:cs="Tahoma"/>
          <w:sz w:val="24"/>
          <w:szCs w:val="24"/>
        </w:rPr>
        <w:t>une grande marge sera consacrée aux questions des participants et traitement de leurs préoccupations réelles.</w:t>
      </w:r>
    </w:p>
    <w:p w:rsidR="00E671E2" w:rsidRPr="00B5505E" w:rsidRDefault="00E671E2" w:rsidP="00E671E2">
      <w:pPr>
        <w:ind w:left="360"/>
        <w:rPr>
          <w:rFonts w:ascii="Tahoma" w:eastAsia="Times New Roman" w:hAnsi="Tahoma" w:cs="Tahoma"/>
          <w:sz w:val="24"/>
          <w:szCs w:val="24"/>
        </w:rPr>
      </w:pPr>
    </w:p>
    <w:p w:rsidR="00E671E2" w:rsidRPr="00B5505E" w:rsidRDefault="00E671E2" w:rsidP="00E671E2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</w:p>
    <w:p w:rsidR="0092062C" w:rsidRDefault="0092062C" w:rsidP="0092062C">
      <w:pPr>
        <w:spacing w:before="100" w:beforeAutospacing="1" w:after="100" w:afterAutospacing="1" w:line="240" w:lineRule="auto"/>
        <w:ind w:left="360"/>
        <w:outlineLvl w:val="1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92062C" w:rsidRPr="00502588" w:rsidRDefault="0092062C" w:rsidP="0092062C">
      <w:pPr>
        <w:spacing w:before="100" w:beforeAutospacing="1" w:after="100" w:afterAutospacing="1" w:line="240" w:lineRule="auto"/>
        <w:ind w:left="360"/>
        <w:outlineLvl w:val="1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4B5292" w:rsidRPr="001E7A6B" w:rsidRDefault="004B5292" w:rsidP="004B5292">
      <w:pPr>
        <w:spacing w:after="0" w:line="240" w:lineRule="auto"/>
        <w:jc w:val="both"/>
        <w:rPr>
          <w:rFonts w:asciiTheme="majorHAnsi" w:hAnsiTheme="majorHAnsi"/>
          <w:b/>
          <w:bCs/>
          <w:sz w:val="32"/>
          <w:szCs w:val="32"/>
        </w:rPr>
      </w:pPr>
      <w:r w:rsidRPr="001E7A6B">
        <w:rPr>
          <w:rFonts w:asciiTheme="majorHAnsi" w:hAnsiTheme="majorHAnsi"/>
          <w:b/>
          <w:bCs/>
          <w:sz w:val="32"/>
          <w:szCs w:val="32"/>
          <w:u w:val="single"/>
        </w:rPr>
        <w:t>Coût de la Formation</w:t>
      </w:r>
      <w:r w:rsidRPr="001E7A6B">
        <w:rPr>
          <w:rFonts w:asciiTheme="majorHAnsi" w:hAnsiTheme="majorHAnsi"/>
          <w:b/>
          <w:bCs/>
          <w:sz w:val="32"/>
          <w:szCs w:val="32"/>
        </w:rPr>
        <w:t xml:space="preserve"> : </w:t>
      </w:r>
    </w:p>
    <w:p w:rsidR="004B5292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B5292" w:rsidRDefault="00993CE6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22</w:t>
      </w:r>
      <w:r w:rsidR="004B5292"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000, HT/ Jour / Participant  </w:t>
      </w:r>
    </w:p>
    <w:p w:rsidR="004B5292" w:rsidRPr="004B5292" w:rsidRDefault="004B5292" w:rsidP="004B5292">
      <w:pPr>
        <w:rPr>
          <w:rFonts w:ascii="Cambria" w:hAnsi="Cambria"/>
          <w:iCs/>
        </w:rPr>
      </w:pPr>
    </w:p>
    <w:p w:rsidR="005B3711" w:rsidRPr="001E7A6B" w:rsidRDefault="005B3711" w:rsidP="005B3711">
      <w:pPr>
        <w:pStyle w:val="Titre1"/>
        <w:keepNext w:val="0"/>
        <w:spacing w:before="480" w:after="120"/>
        <w:ind w:left="360" w:hanging="360"/>
        <w:rPr>
          <w:rFonts w:ascii="Cambria" w:hAnsi="Cambria"/>
          <w:sz w:val="32"/>
          <w:szCs w:val="32"/>
          <w:u w:val="single"/>
        </w:rPr>
      </w:pPr>
      <w:r w:rsidRPr="001E7A6B">
        <w:rPr>
          <w:rFonts w:ascii="Cambria" w:hAnsi="Cambria"/>
          <w:sz w:val="32"/>
          <w:szCs w:val="32"/>
          <w:u w:val="single"/>
        </w:rPr>
        <w:t>Animateur</w:t>
      </w:r>
      <w:r w:rsidR="001E7A6B">
        <w:rPr>
          <w:rFonts w:ascii="Cambria" w:hAnsi="Cambria"/>
          <w:sz w:val="32"/>
          <w:szCs w:val="32"/>
          <w:u w:val="single"/>
        </w:rPr>
        <w:t>:</w:t>
      </w:r>
    </w:p>
    <w:p w:rsidR="001E7A6B" w:rsidRPr="00B158DF" w:rsidRDefault="001E7A6B" w:rsidP="001E7A6B">
      <w:pPr>
        <w:pStyle w:val="Pucetriangle"/>
        <w:numPr>
          <w:ilvl w:val="0"/>
          <w:numId w:val="0"/>
        </w:numPr>
        <w:ind w:left="170" w:hanging="170"/>
        <w:rPr>
          <w:rFonts w:ascii="Cambria" w:hAnsi="Cambria"/>
          <w:b/>
          <w:bCs/>
        </w:rPr>
      </w:pPr>
      <w:r w:rsidRPr="003A092B">
        <w:rPr>
          <w:rFonts w:asciiTheme="majorHAnsi" w:hAnsiTheme="majorHAnsi"/>
          <w:b/>
          <w:bCs/>
          <w:sz w:val="24"/>
          <w:szCs w:val="24"/>
        </w:rPr>
        <w:t>Monsieur</w:t>
      </w:r>
      <w:r w:rsidRPr="00B158DF">
        <w:rPr>
          <w:rFonts w:ascii="Cambria" w:hAnsi="Cambria"/>
          <w:b/>
          <w:bCs/>
        </w:rPr>
        <w:t xml:space="preserve">SI ALI HABIB </w:t>
      </w:r>
    </w:p>
    <w:p w:rsidR="001E7A6B" w:rsidRDefault="001E7A6B" w:rsidP="001E7A6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 Consultant formateur</w:t>
      </w:r>
    </w:p>
    <w:p w:rsidR="005B3711" w:rsidRPr="004B5292" w:rsidRDefault="005B3711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5B3711" w:rsidRPr="004B5292" w:rsidRDefault="001E7A6B" w:rsidP="005B3711">
      <w:pPr>
        <w:pStyle w:val="Titre2"/>
        <w:ind w:left="1080"/>
        <w:rPr>
          <w:rFonts w:ascii="Cambria" w:hAnsi="Cambria"/>
          <w:color w:val="auto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14382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6" cy="49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711" w:rsidRPr="004B5292" w:rsidRDefault="005B3711" w:rsidP="005B3711">
      <w:pPr>
        <w:spacing w:line="360" w:lineRule="auto"/>
        <w:rPr>
          <w:rFonts w:ascii="Cambria" w:hAnsi="Cambria" w:cs="Tahoma"/>
          <w:sz w:val="20"/>
        </w:rPr>
      </w:pPr>
    </w:p>
    <w:p w:rsidR="005B3711" w:rsidRDefault="00E671E2" w:rsidP="00E671E2">
      <w:pPr>
        <w:pStyle w:val="Titre2"/>
        <w:keepLines w:val="0"/>
        <w:tabs>
          <w:tab w:val="left" w:pos="4725"/>
        </w:tabs>
        <w:spacing w:before="0" w:line="280" w:lineRule="atLeast"/>
        <w:ind w:left="1080" w:hanging="36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ab/>
      </w:r>
    </w:p>
    <w:p w:rsidR="00E671E2" w:rsidRDefault="00E671E2" w:rsidP="00E671E2"/>
    <w:p w:rsidR="00E671E2" w:rsidRDefault="00E671E2" w:rsidP="00E671E2"/>
    <w:p w:rsidR="00E671E2" w:rsidRPr="00BC2F09" w:rsidRDefault="00E671E2" w:rsidP="00E671E2">
      <w:pPr>
        <w:shd w:val="clear" w:color="auto" w:fill="FFFFFF"/>
        <w:spacing w:before="100" w:beforeAutospacing="1" w:line="480" w:lineRule="auto"/>
        <w:ind w:left="426"/>
        <w:textAlignment w:val="baseline"/>
        <w:outlineLvl w:val="0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E671E2" w:rsidRPr="00E671E2" w:rsidRDefault="00E671E2" w:rsidP="00E671E2"/>
    <w:p w:rsidR="005B3711" w:rsidRDefault="005B3711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5B3711" w:rsidRDefault="005B3711" w:rsidP="001E7A6B">
      <w:pPr>
        <w:spacing w:after="0" w:line="360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1E7A6B" w:rsidRDefault="001E7A6B" w:rsidP="001E7A6B">
      <w:pPr>
        <w:spacing w:after="0" w:line="360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1E7A6B" w:rsidRDefault="001E7A6B" w:rsidP="001E7A6B">
      <w:pPr>
        <w:spacing w:after="0" w:line="360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1E7A6B" w:rsidRDefault="001E7A6B" w:rsidP="001E7A6B">
      <w:pPr>
        <w:spacing w:after="0" w:line="360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1E7A6B" w:rsidRPr="001E7A6B" w:rsidRDefault="001E7A6B" w:rsidP="001E7A6B">
      <w:pPr>
        <w:rPr>
          <w:rFonts w:cs="Tahoma"/>
          <w:sz w:val="24"/>
          <w:szCs w:val="24"/>
        </w:rPr>
      </w:pPr>
    </w:p>
    <w:p w:rsidR="001E7A6B" w:rsidRDefault="001E7A6B" w:rsidP="001E7A6B">
      <w:pPr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Pr="00F00672" w:rsidRDefault="001E7A6B" w:rsidP="001E7A6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Ancrage juridique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Définition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champ d’application</w:t>
      </w:r>
      <w:r>
        <w:rPr>
          <w:rFonts w:ascii="Tahoma" w:eastAsia="Times New Roman" w:hAnsi="Tahoma" w:cs="Tahoma"/>
          <w:color w:val="000000"/>
          <w:sz w:val="24"/>
          <w:szCs w:val="24"/>
        </w:rPr>
        <w:t> :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spacing w:line="36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 xml:space="preserve"> a) champ d’application professionnel.</w:t>
      </w:r>
    </w:p>
    <w:p w:rsidR="001E7A6B" w:rsidRPr="00BC2F09" w:rsidRDefault="001E7A6B" w:rsidP="001E7A6B">
      <w:pPr>
        <w:spacing w:line="36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b) Champ d’application territorial  (géographique).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 xml:space="preserve"> Représentativité des parties à la négociation</w:t>
      </w:r>
      <w:r>
        <w:rPr>
          <w:rFonts w:ascii="Tahoma" w:eastAsia="Times New Roman" w:hAnsi="Tahoma" w:cs="Tahoma"/>
          <w:color w:val="000000"/>
          <w:sz w:val="24"/>
          <w:szCs w:val="24"/>
        </w:rPr>
        <w:t> :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spacing w:line="36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a) Partie trav</w:t>
      </w:r>
      <w:r>
        <w:rPr>
          <w:rFonts w:ascii="Tahoma" w:eastAsia="Times New Roman" w:hAnsi="Tahoma" w:cs="Tahoma"/>
          <w:color w:val="000000"/>
          <w:sz w:val="24"/>
          <w:szCs w:val="24"/>
        </w:rPr>
        <w:t>a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illeurs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Représentativité au niveau de l’entreprise.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Représentativité au niveau territorial</w:t>
      </w:r>
      <w:r>
        <w:rPr>
          <w:rFonts w:ascii="Tahoma" w:eastAsia="Times New Roman" w:hAnsi="Tahoma" w:cs="Tahoma"/>
          <w:color w:val="000000"/>
          <w:sz w:val="24"/>
          <w:szCs w:val="24"/>
        </w:rPr>
        <w:t> :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spacing w:line="36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b) Partie employeurs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objet  de la négociation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 xml:space="preserve"> modalités de  Négociation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 xml:space="preserve"> conclusion et exécution des conventions collectives.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 xml:space="preserve"> durée de la convention collective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règles applicables à la  dénonciation de la convention collective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la négociation collective, une obligation légale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BC2F0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E7A6B" w:rsidRPr="00BC2F09" w:rsidRDefault="001E7A6B" w:rsidP="001E7A6B">
      <w:pPr>
        <w:pStyle w:val="Paragraphedeliste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C2F09">
        <w:rPr>
          <w:rFonts w:ascii="Tahoma" w:eastAsia="Times New Roman" w:hAnsi="Tahoma" w:cs="Tahoma"/>
          <w:color w:val="000000"/>
          <w:sz w:val="24"/>
          <w:szCs w:val="24"/>
        </w:rPr>
        <w:t>Dispositions pénales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Pr="001E7A6B" w:rsidRDefault="001E7A6B" w:rsidP="001E7A6B">
      <w:pPr>
        <w:ind w:firstLine="708"/>
        <w:rPr>
          <w:rFonts w:cs="Tahoma"/>
          <w:sz w:val="24"/>
          <w:szCs w:val="24"/>
        </w:rPr>
      </w:pPr>
    </w:p>
    <w:p w:rsidR="001E7A6B" w:rsidRPr="001E7A6B" w:rsidRDefault="001E7A6B" w:rsidP="001E7A6B">
      <w:pPr>
        <w:spacing w:after="0" w:line="360" w:lineRule="auto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2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AC" w:rsidRDefault="00577FAC" w:rsidP="00DC4419">
      <w:pPr>
        <w:spacing w:after="0" w:line="240" w:lineRule="auto"/>
      </w:pPr>
      <w:r>
        <w:separator/>
      </w:r>
    </w:p>
  </w:endnote>
  <w:endnote w:type="continuationSeparator" w:id="1">
    <w:p w:rsidR="00577FAC" w:rsidRDefault="00577FAC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AC" w:rsidRDefault="00577FAC" w:rsidP="00DC4419">
      <w:pPr>
        <w:spacing w:after="0" w:line="240" w:lineRule="auto"/>
      </w:pPr>
      <w:r>
        <w:separator/>
      </w:r>
    </w:p>
  </w:footnote>
  <w:footnote w:type="continuationSeparator" w:id="1">
    <w:p w:rsidR="00577FAC" w:rsidRDefault="00577FAC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1B0634"/>
    <w:multiLevelType w:val="hybridMultilevel"/>
    <w:tmpl w:val="427261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23"/>
  </w:num>
  <w:num w:numId="10">
    <w:abstractNumId w:val="21"/>
  </w:num>
  <w:num w:numId="11">
    <w:abstractNumId w:val="5"/>
  </w:num>
  <w:num w:numId="12">
    <w:abstractNumId w:val="17"/>
  </w:num>
  <w:num w:numId="13">
    <w:abstractNumId w:val="19"/>
  </w:num>
  <w:num w:numId="14">
    <w:abstractNumId w:val="12"/>
  </w:num>
  <w:num w:numId="15">
    <w:abstractNumId w:val="25"/>
  </w:num>
  <w:num w:numId="16">
    <w:abstractNumId w:val="7"/>
  </w:num>
  <w:num w:numId="17">
    <w:abstractNumId w:val="6"/>
  </w:num>
  <w:num w:numId="18">
    <w:abstractNumId w:val="13"/>
  </w:num>
  <w:num w:numId="19">
    <w:abstractNumId w:val="27"/>
  </w:num>
  <w:num w:numId="20">
    <w:abstractNumId w:val="26"/>
  </w:num>
  <w:num w:numId="21">
    <w:abstractNumId w:val="9"/>
  </w:num>
  <w:num w:numId="22">
    <w:abstractNumId w:val="16"/>
  </w:num>
  <w:num w:numId="23">
    <w:abstractNumId w:val="28"/>
  </w:num>
  <w:num w:numId="24">
    <w:abstractNumId w:val="8"/>
  </w:num>
  <w:num w:numId="25">
    <w:abstractNumId w:val="24"/>
  </w:num>
  <w:num w:numId="26">
    <w:abstractNumId w:val="22"/>
  </w:num>
  <w:num w:numId="27">
    <w:abstractNumId w:val="15"/>
  </w:num>
  <w:num w:numId="28">
    <w:abstractNumId w:val="11"/>
  </w:num>
  <w:num w:numId="29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462C"/>
    <w:rsid w:val="00147FF1"/>
    <w:rsid w:val="00192203"/>
    <w:rsid w:val="00195A85"/>
    <w:rsid w:val="001D3F6F"/>
    <w:rsid w:val="001E19A1"/>
    <w:rsid w:val="001E357D"/>
    <w:rsid w:val="001E3A87"/>
    <w:rsid w:val="001E7A6B"/>
    <w:rsid w:val="001F509C"/>
    <w:rsid w:val="00203745"/>
    <w:rsid w:val="002218A2"/>
    <w:rsid w:val="002241E5"/>
    <w:rsid w:val="00225966"/>
    <w:rsid w:val="00230DE1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27CB9"/>
    <w:rsid w:val="0033228A"/>
    <w:rsid w:val="00356BFD"/>
    <w:rsid w:val="00374D9A"/>
    <w:rsid w:val="0038658F"/>
    <w:rsid w:val="00396ED0"/>
    <w:rsid w:val="003B0ECF"/>
    <w:rsid w:val="003B537C"/>
    <w:rsid w:val="003D56E4"/>
    <w:rsid w:val="003F273B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77B88"/>
    <w:rsid w:val="0048263B"/>
    <w:rsid w:val="00487145"/>
    <w:rsid w:val="004951EE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77FAC"/>
    <w:rsid w:val="005A1BFA"/>
    <w:rsid w:val="005A2647"/>
    <w:rsid w:val="005A7493"/>
    <w:rsid w:val="005B3711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849C1"/>
    <w:rsid w:val="00695E44"/>
    <w:rsid w:val="006A52AC"/>
    <w:rsid w:val="006B2B74"/>
    <w:rsid w:val="006C1127"/>
    <w:rsid w:val="006C189A"/>
    <w:rsid w:val="006D2219"/>
    <w:rsid w:val="006D561C"/>
    <w:rsid w:val="006E5B43"/>
    <w:rsid w:val="006F79F3"/>
    <w:rsid w:val="007022DE"/>
    <w:rsid w:val="00751309"/>
    <w:rsid w:val="00761B4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2062C"/>
    <w:rsid w:val="00952C6B"/>
    <w:rsid w:val="00986084"/>
    <w:rsid w:val="00993CE6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5425E"/>
    <w:rsid w:val="00C7313F"/>
    <w:rsid w:val="00C763B6"/>
    <w:rsid w:val="00C84E77"/>
    <w:rsid w:val="00C97746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671E2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EE3F-02DE-4082-A09D-BDCC147E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2018-11-06T17:54:00Z</dcterms:created>
  <dcterms:modified xsi:type="dcterms:W3CDTF">2018-11-06T17:54:00Z</dcterms:modified>
</cp:coreProperties>
</file>