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D96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E642C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ComplexeWakfHaï El Kiram</w:t>
      </w:r>
    </w:p>
    <w:p w:rsidR="00E62D87" w:rsidRPr="00E642C1" w:rsidRDefault="00E03D96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B24542" w:rsidRPr="00E642C1" w:rsidRDefault="00E03D96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B24542" w:rsidRPr="00E642C1" w:rsidRDefault="00E03D96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B24542" w:rsidRPr="00FE1541" w:rsidRDefault="00B24542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E62D87" w:rsidRPr="00930381" w:rsidRDefault="00E03D96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B24542" w:rsidRPr="00473272" w:rsidRDefault="00B24542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B24542" w:rsidRDefault="00B24542" w:rsidP="00E62D87"/>
              </w:txbxContent>
            </v:textbox>
          </v:shape>
        </w:pic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E62D87">
        <w:rPr>
          <w:rFonts w:ascii="Cambria" w:hAnsi="Cambria" w:cs="TimesNewRomanPSMT"/>
          <w:sz w:val="16"/>
          <w:szCs w:val="16"/>
          <w:lang w:val="en-US"/>
        </w:rPr>
        <w:t>,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Birkhadem</w:t>
      </w:r>
      <w:r w:rsidR="00E62D87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E62D87" w:rsidRDefault="00E03D96" w:rsidP="00E62D87">
      <w:r w:rsidRPr="00E03D96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12.8pt;width:343.35pt;height:60.45pt;z-index:-251655168" strokecolor="#c00000">
            <v:textbox style="mso-next-textbox:#_x0000_s1027">
              <w:txbxContent>
                <w:p w:rsidR="0092062C" w:rsidRDefault="0092062C" w:rsidP="009962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E3B5C">
                    <w:rPr>
                      <w:b/>
                      <w:bCs/>
                      <w:sz w:val="28"/>
                      <w:szCs w:val="28"/>
                    </w:rPr>
                    <w:t>le contrat de travail en pratique (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gestion et audit)</w:t>
                  </w:r>
                </w:p>
                <w:p w:rsidR="009962F3" w:rsidRPr="00B158DF" w:rsidRDefault="009962F3" w:rsidP="0041191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962F3">
                    <w:rPr>
                      <w:b/>
                      <w:bCs/>
                      <w:sz w:val="24"/>
                      <w:szCs w:val="24"/>
                    </w:rPr>
                    <w:t xml:space="preserve">Le : 01/02/03 </w:t>
                  </w:r>
                  <w:r w:rsidR="00411914">
                    <w:rPr>
                      <w:b/>
                      <w:bCs/>
                      <w:sz w:val="24"/>
                      <w:szCs w:val="24"/>
                    </w:rPr>
                    <w:t>Décembre</w:t>
                  </w:r>
                  <w:bookmarkStart w:id="0" w:name="_GoBack"/>
                  <w:bookmarkEnd w:id="0"/>
                  <w:r w:rsidRPr="00B158DF">
                    <w:rPr>
                      <w:b/>
                      <w:bCs/>
                      <w:sz w:val="24"/>
                      <w:szCs w:val="24"/>
                    </w:rPr>
                    <w:t>2018</w:t>
                  </w:r>
                </w:p>
                <w:p w:rsidR="009962F3" w:rsidRPr="000E3B5C" w:rsidRDefault="009962F3" w:rsidP="009962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062C" w:rsidRDefault="0092062C" w:rsidP="0092062C"/>
                <w:p w:rsidR="00B24542" w:rsidRPr="0092062C" w:rsidRDefault="00B24542" w:rsidP="0092062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E03D96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E03D96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2.65pt;width:94.5pt;height:25.5pt;z-index:251660288">
            <v:textbox style="mso-next-textbox:#_x0000_s1026">
              <w:txbxContent>
                <w:p w:rsidR="00B24542" w:rsidRPr="0086299F" w:rsidRDefault="00B24542" w:rsidP="006A52AC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 w:rsidR="00467ED5">
                    <w:rPr>
                      <w:rFonts w:asciiTheme="majorHAnsi" w:hAnsiTheme="majorHAnsi"/>
                      <w:color w:val="C00000"/>
                    </w:rPr>
                    <w:t xml:space="preserve"> 3</w:t>
                  </w:r>
                  <w:r w:rsidR="001F509C">
                    <w:rPr>
                      <w:rFonts w:asciiTheme="majorHAnsi" w:hAnsiTheme="majorHAnsi"/>
                      <w:color w:val="C00000"/>
                    </w:rPr>
                    <w:t>jour</w:t>
                  </w:r>
                  <w:r w:rsidR="0004630B">
                    <w:rPr>
                      <w:rFonts w:asciiTheme="majorHAnsi" w:hAnsiTheme="majorHAnsi"/>
                      <w:color w:val="C00000"/>
                    </w:rPr>
                    <w:t>s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9962F3" w:rsidRDefault="009962F3" w:rsidP="0092062C">
      <w:pPr>
        <w:rPr>
          <w:rFonts w:ascii="Tahoma" w:eastAsia="Times New Roman" w:hAnsi="Tahoma" w:cs="Tahoma"/>
          <w:b/>
          <w:bCs/>
          <w:sz w:val="28"/>
        </w:rPr>
      </w:pPr>
    </w:p>
    <w:p w:rsidR="0092062C" w:rsidRPr="009962F3" w:rsidRDefault="0092062C" w:rsidP="0092062C">
      <w:pPr>
        <w:rPr>
          <w:sz w:val="28"/>
          <w:szCs w:val="28"/>
          <w:u w:val="single"/>
        </w:rPr>
      </w:pPr>
      <w:r w:rsidRPr="009962F3">
        <w:rPr>
          <w:rFonts w:ascii="Tahoma" w:eastAsia="Times New Roman" w:hAnsi="Tahoma" w:cs="Tahoma"/>
          <w:b/>
          <w:bCs/>
          <w:sz w:val="28"/>
          <w:u w:val="single"/>
        </w:rPr>
        <w:t>Objectifs </w:t>
      </w:r>
      <w:r w:rsidRPr="009962F3">
        <w:rPr>
          <w:sz w:val="28"/>
          <w:szCs w:val="28"/>
          <w:u w:val="single"/>
        </w:rPr>
        <w:t>:</w:t>
      </w:r>
    </w:p>
    <w:p w:rsidR="0092062C" w:rsidRPr="00467ED5" w:rsidRDefault="0092062C" w:rsidP="0092062C">
      <w:pPr>
        <w:rPr>
          <w:sz w:val="28"/>
          <w:szCs w:val="28"/>
        </w:rPr>
      </w:pPr>
    </w:p>
    <w:p w:rsidR="0092062C" w:rsidRPr="00467ED5" w:rsidRDefault="0092062C" w:rsidP="0092062C">
      <w:pPr>
        <w:pStyle w:val="Paragraphedeliste"/>
        <w:numPr>
          <w:ilvl w:val="0"/>
          <w:numId w:val="26"/>
        </w:numPr>
        <w:shd w:val="clear" w:color="auto" w:fill="FFFFFF"/>
        <w:spacing w:before="115" w:after="173" w:line="240" w:lineRule="auto"/>
        <w:rPr>
          <w:rFonts w:ascii="Trebuchet MS" w:eastAsia="Times New Roman" w:hAnsi="Trebuchet MS" w:cs="Times New Roman"/>
          <w:sz w:val="17"/>
          <w:szCs w:val="17"/>
        </w:rPr>
      </w:pPr>
      <w:r w:rsidRPr="00467ED5">
        <w:rPr>
          <w:rFonts w:ascii="Tahoma" w:eastAsia="Times New Roman" w:hAnsi="Tahoma" w:cs="Tahoma"/>
          <w:sz w:val="24"/>
          <w:szCs w:val="24"/>
        </w:rPr>
        <w:t>Maîtriser les différents types de contrats de travail, leur contenu et leur gestion</w:t>
      </w:r>
    </w:p>
    <w:p w:rsidR="0092062C" w:rsidRPr="00467ED5" w:rsidRDefault="0092062C" w:rsidP="0092062C">
      <w:pPr>
        <w:pStyle w:val="Paragraphedeliste"/>
        <w:numPr>
          <w:ilvl w:val="0"/>
          <w:numId w:val="26"/>
        </w:numPr>
        <w:shd w:val="clear" w:color="auto" w:fill="FFFFFF"/>
        <w:spacing w:before="115" w:after="173" w:line="240" w:lineRule="auto"/>
        <w:rPr>
          <w:rFonts w:ascii="Trebuchet MS" w:eastAsia="Times New Roman" w:hAnsi="Trebuchet MS" w:cs="Times New Roman"/>
          <w:sz w:val="17"/>
          <w:szCs w:val="17"/>
        </w:rPr>
      </w:pPr>
      <w:r w:rsidRPr="00467ED5">
        <w:rPr>
          <w:rFonts w:ascii="Tahoma" w:eastAsia="Times New Roman" w:hAnsi="Tahoma" w:cs="Tahoma"/>
          <w:sz w:val="24"/>
          <w:szCs w:val="24"/>
        </w:rPr>
        <w:t>Identifier les parties au contrat.</w:t>
      </w:r>
    </w:p>
    <w:p w:rsidR="0092062C" w:rsidRPr="00467ED5" w:rsidRDefault="0092062C" w:rsidP="0092062C">
      <w:pPr>
        <w:numPr>
          <w:ilvl w:val="0"/>
          <w:numId w:val="26"/>
        </w:numPr>
        <w:spacing w:before="96" w:after="96" w:line="240" w:lineRule="auto"/>
        <w:rPr>
          <w:rFonts w:ascii="Segoe UI" w:eastAsia="Times New Roman" w:hAnsi="Segoe UI" w:cs="Segoe UI"/>
          <w:sz w:val="24"/>
          <w:szCs w:val="24"/>
        </w:rPr>
      </w:pPr>
      <w:r w:rsidRPr="00467ED5">
        <w:rPr>
          <w:rFonts w:ascii="Segoe UI" w:eastAsia="Times New Roman" w:hAnsi="Segoe UI" w:cs="Segoe UI"/>
          <w:sz w:val="24"/>
          <w:szCs w:val="24"/>
        </w:rPr>
        <w:t>Maitriser les règles juridiques liées à l’élaboration, exécution, suspension et cessation du contrat du travail.</w:t>
      </w:r>
    </w:p>
    <w:p w:rsidR="0092062C" w:rsidRPr="00467ED5" w:rsidRDefault="0092062C" w:rsidP="0092062C">
      <w:pPr>
        <w:numPr>
          <w:ilvl w:val="0"/>
          <w:numId w:val="26"/>
        </w:numPr>
        <w:spacing w:before="96" w:after="96" w:line="240" w:lineRule="auto"/>
        <w:rPr>
          <w:rFonts w:ascii="Segoe UI" w:eastAsia="Times New Roman" w:hAnsi="Segoe UI" w:cs="Segoe UI"/>
          <w:sz w:val="24"/>
          <w:szCs w:val="24"/>
        </w:rPr>
      </w:pPr>
      <w:r w:rsidRPr="00467ED5">
        <w:rPr>
          <w:rFonts w:ascii="Segoe UI" w:eastAsia="Times New Roman" w:hAnsi="Segoe UI" w:cs="Segoe UI"/>
          <w:sz w:val="24"/>
          <w:szCs w:val="24"/>
        </w:rPr>
        <w:t xml:space="preserve">Comprendre les fondamentaux du droit du travail et ce  pour une utilisation </w:t>
      </w:r>
    </w:p>
    <w:p w:rsidR="0092062C" w:rsidRPr="00467ED5" w:rsidRDefault="0092062C" w:rsidP="0092062C">
      <w:pPr>
        <w:spacing w:before="96" w:after="96" w:line="240" w:lineRule="auto"/>
        <w:ind w:left="568"/>
        <w:rPr>
          <w:rFonts w:ascii="Segoe UI" w:eastAsia="Times New Roman" w:hAnsi="Segoe UI" w:cs="Segoe UI"/>
          <w:sz w:val="24"/>
          <w:szCs w:val="24"/>
        </w:rPr>
      </w:pPr>
      <w:r w:rsidRPr="00467ED5">
        <w:rPr>
          <w:rFonts w:ascii="Segoe UI" w:eastAsia="Times New Roman" w:hAnsi="Segoe UI" w:cs="Segoe UI"/>
          <w:sz w:val="24"/>
          <w:szCs w:val="24"/>
        </w:rPr>
        <w:t>Concrète au quotidien</w:t>
      </w:r>
    </w:p>
    <w:p w:rsidR="0092062C" w:rsidRPr="00467ED5" w:rsidRDefault="0092062C" w:rsidP="0092062C">
      <w:pPr>
        <w:numPr>
          <w:ilvl w:val="0"/>
          <w:numId w:val="26"/>
        </w:numPr>
        <w:spacing w:before="96" w:after="96" w:line="240" w:lineRule="auto"/>
        <w:rPr>
          <w:rFonts w:ascii="Segoe UI" w:eastAsia="Times New Roman" w:hAnsi="Segoe UI" w:cs="Segoe UI"/>
          <w:sz w:val="24"/>
          <w:szCs w:val="24"/>
        </w:rPr>
      </w:pPr>
      <w:r w:rsidRPr="00467ED5">
        <w:rPr>
          <w:rFonts w:ascii="Segoe UI" w:eastAsia="Times New Roman" w:hAnsi="Segoe UI" w:cs="Segoe UI"/>
          <w:sz w:val="24"/>
          <w:szCs w:val="24"/>
        </w:rPr>
        <w:t>sécuriser les pratiques de management vis-à-vis des prescriptions de la législation du travail.</w:t>
      </w:r>
    </w:p>
    <w:p w:rsidR="0092062C" w:rsidRPr="00467ED5" w:rsidRDefault="0092062C" w:rsidP="0092062C">
      <w:pPr>
        <w:spacing w:before="96" w:after="96" w:line="240" w:lineRule="auto"/>
        <w:ind w:left="568"/>
        <w:rPr>
          <w:rFonts w:ascii="Segoe UI" w:eastAsia="Times New Roman" w:hAnsi="Segoe UI" w:cs="Segoe UI"/>
          <w:sz w:val="24"/>
          <w:szCs w:val="24"/>
        </w:rPr>
      </w:pPr>
    </w:p>
    <w:p w:rsidR="0092062C" w:rsidRPr="00467ED5" w:rsidRDefault="0092062C" w:rsidP="0092062C"/>
    <w:p w:rsidR="0092062C" w:rsidRPr="009962F3" w:rsidRDefault="0092062C" w:rsidP="0092062C">
      <w:pPr>
        <w:rPr>
          <w:u w:val="single"/>
        </w:rPr>
      </w:pPr>
      <w:r w:rsidRPr="009962F3">
        <w:rPr>
          <w:rFonts w:ascii="Tahoma" w:eastAsia="Times New Roman" w:hAnsi="Tahoma" w:cs="Tahoma"/>
          <w:b/>
          <w:bCs/>
          <w:sz w:val="28"/>
          <w:u w:val="single"/>
        </w:rPr>
        <w:t>Public ciblé</w:t>
      </w:r>
      <w:r w:rsidRPr="009962F3">
        <w:rPr>
          <w:sz w:val="28"/>
          <w:szCs w:val="28"/>
          <w:u w:val="single"/>
        </w:rPr>
        <w:t> :</w:t>
      </w:r>
    </w:p>
    <w:p w:rsidR="0092062C" w:rsidRPr="00467ED5" w:rsidRDefault="0092062C" w:rsidP="0092062C"/>
    <w:p w:rsidR="0092062C" w:rsidRPr="00467ED5" w:rsidRDefault="0092062C" w:rsidP="0092062C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 xml:space="preserve">DRH, DAF. </w:t>
      </w:r>
    </w:p>
    <w:p w:rsidR="0092062C" w:rsidRPr="00467ED5" w:rsidRDefault="0092062C" w:rsidP="0092062C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Responsables des affaires juridiques et du contentieux</w:t>
      </w:r>
    </w:p>
    <w:p w:rsidR="0092062C" w:rsidRPr="00467ED5" w:rsidRDefault="0092062C" w:rsidP="0092062C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Juristes</w:t>
      </w:r>
    </w:p>
    <w:p w:rsidR="0092062C" w:rsidRPr="00467ED5" w:rsidRDefault="0092062C" w:rsidP="0092062C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Responsables des ressources humaines</w:t>
      </w:r>
    </w:p>
    <w:p w:rsidR="0092062C" w:rsidRPr="00467ED5" w:rsidRDefault="0092062C" w:rsidP="0092062C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Chefs d’entreprises, gérants de sociétés…</w:t>
      </w:r>
    </w:p>
    <w:p w:rsidR="0092062C" w:rsidRPr="009962F3" w:rsidRDefault="0092062C" w:rsidP="0092062C">
      <w:pPr>
        <w:rPr>
          <w:u w:val="single"/>
        </w:rPr>
      </w:pPr>
    </w:p>
    <w:p w:rsidR="0092062C" w:rsidRPr="009962F3" w:rsidRDefault="0092062C" w:rsidP="0092062C">
      <w:pPr>
        <w:shd w:val="clear" w:color="auto" w:fill="FFFFFF"/>
        <w:spacing w:before="115" w:after="173" w:line="240" w:lineRule="auto"/>
        <w:rPr>
          <w:rFonts w:ascii="Trebuchet MS" w:eastAsia="Times New Roman" w:hAnsi="Trebuchet MS" w:cs="Times New Roman"/>
          <w:sz w:val="17"/>
          <w:szCs w:val="17"/>
          <w:u w:val="single"/>
        </w:rPr>
      </w:pPr>
      <w:r w:rsidRPr="009962F3">
        <w:rPr>
          <w:rFonts w:ascii="Tahoma" w:eastAsia="Times New Roman" w:hAnsi="Tahoma" w:cs="Tahoma"/>
          <w:b/>
          <w:bCs/>
          <w:sz w:val="28"/>
          <w:u w:val="single"/>
        </w:rPr>
        <w:t>Support et méthode pédagogique :</w:t>
      </w:r>
    </w:p>
    <w:p w:rsidR="0092062C" w:rsidRPr="00467ED5" w:rsidRDefault="0092062C" w:rsidP="0092062C">
      <w:pPr>
        <w:shd w:val="clear" w:color="auto" w:fill="FFFFFF"/>
        <w:spacing w:before="115" w:after="173" w:line="240" w:lineRule="auto"/>
        <w:ind w:left="567" w:hanging="283"/>
        <w:rPr>
          <w:rFonts w:ascii="Trebuchet MS" w:eastAsia="Times New Roman" w:hAnsi="Trebuchet MS" w:cs="Times New Roman"/>
          <w:sz w:val="17"/>
          <w:szCs w:val="17"/>
        </w:rPr>
      </w:pPr>
      <w:r w:rsidRPr="00467ED5">
        <w:rPr>
          <w:rFonts w:ascii="Book Antiqua" w:eastAsia="Times New Roman" w:hAnsi="Book Antiqua" w:cs="Times New Roman"/>
          <w:sz w:val="24"/>
          <w:szCs w:val="24"/>
        </w:rPr>
        <w:t>•</w:t>
      </w:r>
      <w:r w:rsidRPr="00467ED5">
        <w:rPr>
          <w:rFonts w:ascii="Tahoma" w:eastAsia="Times New Roman" w:hAnsi="Tahoma" w:cs="Tahoma"/>
          <w:sz w:val="24"/>
          <w:szCs w:val="24"/>
        </w:rPr>
        <w:t>  Les exercices d'application ont été choisis pour leur impact opérationnel : écueils à éviter dans la rédaction du contrat de travail et Ils facilitent la mise en application rapide des acquis en situation professionnelle.</w:t>
      </w:r>
    </w:p>
    <w:p w:rsidR="0092062C" w:rsidRPr="00467ED5" w:rsidRDefault="0092062C" w:rsidP="0092062C">
      <w:pPr>
        <w:shd w:val="clear" w:color="auto" w:fill="FFFFFF"/>
        <w:spacing w:before="115" w:after="173" w:line="240" w:lineRule="auto"/>
        <w:ind w:left="567" w:hanging="283"/>
        <w:rPr>
          <w:rFonts w:ascii="Trebuchet MS" w:eastAsia="Times New Roman" w:hAnsi="Trebuchet MS" w:cs="Times New Roman"/>
          <w:sz w:val="17"/>
          <w:szCs w:val="17"/>
        </w:rPr>
      </w:pPr>
      <w:r w:rsidRPr="00467ED5">
        <w:rPr>
          <w:rFonts w:ascii="Book Antiqua" w:eastAsia="Times New Roman" w:hAnsi="Book Antiqua" w:cs="Times New Roman"/>
          <w:sz w:val="24"/>
          <w:szCs w:val="24"/>
        </w:rPr>
        <w:t>•</w:t>
      </w:r>
      <w:r w:rsidRPr="00467ED5">
        <w:rPr>
          <w:rFonts w:ascii="Tahoma" w:eastAsia="Times New Roman" w:hAnsi="Tahoma" w:cs="Tahoma"/>
          <w:sz w:val="24"/>
          <w:szCs w:val="24"/>
        </w:rPr>
        <w:t> Enfin, à l'issue de chaque journée, un questionnaire portant sur les thèmes abordés permet une validation précise des connaissances.</w:t>
      </w:r>
    </w:p>
    <w:p w:rsidR="0092062C" w:rsidRPr="00467ED5" w:rsidRDefault="0092062C" w:rsidP="0092062C">
      <w:pPr>
        <w:shd w:val="clear" w:color="auto" w:fill="FFFFFF"/>
        <w:spacing w:before="115" w:after="173" w:line="240" w:lineRule="auto"/>
        <w:ind w:left="567" w:hanging="283"/>
        <w:rPr>
          <w:rFonts w:ascii="Trebuchet MS" w:eastAsia="Times New Roman" w:hAnsi="Trebuchet MS" w:cs="Times New Roman"/>
          <w:sz w:val="17"/>
          <w:szCs w:val="17"/>
        </w:rPr>
      </w:pPr>
      <w:r w:rsidRPr="00467ED5">
        <w:rPr>
          <w:rFonts w:ascii="Book Antiqua" w:eastAsia="Times New Roman" w:hAnsi="Book Antiqua" w:cs="Times New Roman"/>
          <w:sz w:val="24"/>
          <w:szCs w:val="24"/>
        </w:rPr>
        <w:t>•</w:t>
      </w:r>
      <w:r w:rsidRPr="00467ED5">
        <w:rPr>
          <w:rFonts w:ascii="Tahoma" w:eastAsia="Times New Roman" w:hAnsi="Tahoma" w:cs="Tahoma"/>
          <w:sz w:val="24"/>
          <w:szCs w:val="24"/>
        </w:rPr>
        <w:t> Des ateliers permettent de sécuriser la rédaction des contrats de travail (audit de conformité).</w:t>
      </w:r>
    </w:p>
    <w:p w:rsidR="009962F3" w:rsidRDefault="009962F3" w:rsidP="0092062C">
      <w:pPr>
        <w:spacing w:before="100" w:beforeAutospacing="1" w:after="100" w:afterAutospacing="1" w:line="240" w:lineRule="auto"/>
        <w:ind w:left="360"/>
        <w:outlineLvl w:val="1"/>
        <w:rPr>
          <w:rFonts w:ascii="Book Antiqua" w:eastAsia="Times New Roman" w:hAnsi="Book Antiqua" w:cs="Times New Roman"/>
          <w:sz w:val="24"/>
          <w:szCs w:val="24"/>
        </w:rPr>
      </w:pPr>
    </w:p>
    <w:p w:rsidR="0092062C" w:rsidRPr="00467ED5" w:rsidRDefault="0092062C" w:rsidP="0092062C">
      <w:pPr>
        <w:spacing w:before="100" w:beforeAutospacing="1" w:after="100" w:afterAutospacing="1" w:line="240" w:lineRule="auto"/>
        <w:ind w:left="360"/>
        <w:outlineLvl w:val="1"/>
        <w:rPr>
          <w:rFonts w:ascii="Tahoma" w:eastAsia="Times New Roman" w:hAnsi="Tahoma" w:cs="Tahoma"/>
          <w:sz w:val="24"/>
          <w:szCs w:val="24"/>
        </w:rPr>
      </w:pPr>
      <w:r w:rsidRPr="00467ED5">
        <w:rPr>
          <w:rFonts w:ascii="Book Antiqua" w:eastAsia="Times New Roman" w:hAnsi="Book Antiqua" w:cs="Times New Roman"/>
          <w:sz w:val="24"/>
          <w:szCs w:val="24"/>
        </w:rPr>
        <w:t>•</w:t>
      </w:r>
      <w:r w:rsidRPr="00467ED5">
        <w:rPr>
          <w:rFonts w:ascii="Tahoma" w:eastAsia="Times New Roman" w:hAnsi="Tahoma" w:cs="Tahoma"/>
          <w:sz w:val="24"/>
          <w:szCs w:val="24"/>
        </w:rPr>
        <w:t> Support écrit et numérisé.</w:t>
      </w:r>
    </w:p>
    <w:p w:rsidR="0092062C" w:rsidRPr="00467ED5" w:rsidRDefault="0092062C" w:rsidP="0092062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467ED5">
        <w:rPr>
          <w:rFonts w:ascii="Segoe UI" w:eastAsia="Times New Roman" w:hAnsi="Segoe UI" w:cs="Segoe UI"/>
          <w:sz w:val="24"/>
          <w:szCs w:val="24"/>
        </w:rPr>
        <w:t>une grande marge sera consacrée aux questions des participants et traitement de leurs préoccupations réelles.</w:t>
      </w:r>
    </w:p>
    <w:p w:rsidR="003D56E4" w:rsidRPr="00467ED5" w:rsidRDefault="003D56E4" w:rsidP="00F329C1">
      <w:pPr>
        <w:pStyle w:val="Titre1"/>
        <w:rPr>
          <w:rFonts w:ascii="Arial Narrow" w:hAnsi="Arial Narrow"/>
          <w:i/>
          <w:iCs/>
          <w:sz w:val="20"/>
          <w:szCs w:val="20"/>
        </w:rPr>
      </w:pPr>
    </w:p>
    <w:p w:rsidR="004B5292" w:rsidRPr="00467ED5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4B5292" w:rsidRPr="009962F3" w:rsidRDefault="004B5292" w:rsidP="004B5292">
      <w:pPr>
        <w:spacing w:after="0" w:line="240" w:lineRule="auto"/>
        <w:jc w:val="both"/>
        <w:rPr>
          <w:rFonts w:asciiTheme="majorHAnsi" w:hAnsiTheme="majorHAnsi"/>
          <w:b/>
          <w:bCs/>
          <w:sz w:val="32"/>
          <w:szCs w:val="32"/>
        </w:rPr>
      </w:pPr>
      <w:r w:rsidRPr="009962F3">
        <w:rPr>
          <w:rFonts w:asciiTheme="majorHAnsi" w:hAnsiTheme="majorHAnsi"/>
          <w:b/>
          <w:bCs/>
          <w:sz w:val="32"/>
          <w:szCs w:val="32"/>
          <w:u w:val="single"/>
        </w:rPr>
        <w:t>Coût de la Formation</w:t>
      </w:r>
      <w:r w:rsidRPr="009962F3">
        <w:rPr>
          <w:rFonts w:asciiTheme="majorHAnsi" w:hAnsiTheme="majorHAnsi"/>
          <w:b/>
          <w:bCs/>
          <w:sz w:val="32"/>
          <w:szCs w:val="32"/>
        </w:rPr>
        <w:t xml:space="preserve"> : </w:t>
      </w:r>
    </w:p>
    <w:p w:rsidR="004B5292" w:rsidRPr="00467ED5" w:rsidRDefault="004B5292" w:rsidP="004B52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B5292" w:rsidRPr="00467ED5" w:rsidRDefault="00241B1A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 DZD 22</w:t>
      </w:r>
      <w:r w:rsidR="004B5292" w:rsidRPr="00467ED5">
        <w:rPr>
          <w:rFonts w:asciiTheme="majorHAnsi" w:eastAsia="Times New Roman" w:hAnsiTheme="majorHAnsi" w:cs="Times New Roman"/>
          <w:bCs/>
          <w:sz w:val="24"/>
          <w:szCs w:val="24"/>
        </w:rPr>
        <w:t xml:space="preserve">000, HT/ Jour / Participant  </w:t>
      </w:r>
    </w:p>
    <w:p w:rsidR="004B5292" w:rsidRPr="00467ED5" w:rsidRDefault="004B5292" w:rsidP="004B5292">
      <w:pPr>
        <w:rPr>
          <w:rFonts w:ascii="Cambria" w:hAnsi="Cambria"/>
          <w:iCs/>
        </w:rPr>
      </w:pPr>
    </w:p>
    <w:p w:rsidR="005B3711" w:rsidRPr="009962F3" w:rsidRDefault="005B3711" w:rsidP="005B3711">
      <w:pPr>
        <w:pStyle w:val="Titre1"/>
        <w:keepNext w:val="0"/>
        <w:spacing w:before="480" w:after="120"/>
        <w:ind w:left="360" w:hanging="360"/>
        <w:rPr>
          <w:rFonts w:asciiTheme="majorHAnsi" w:eastAsia="Arial Unicode MS" w:hAnsiTheme="majorHAnsi" w:cs="Arial Unicode MS"/>
          <w:sz w:val="32"/>
          <w:szCs w:val="32"/>
          <w:u w:val="single"/>
        </w:rPr>
      </w:pPr>
      <w:r w:rsidRPr="009962F3">
        <w:rPr>
          <w:rFonts w:asciiTheme="majorHAnsi" w:eastAsia="Arial Unicode MS" w:hAnsiTheme="majorHAnsi" w:cs="Arial Unicode MS"/>
          <w:sz w:val="32"/>
          <w:szCs w:val="32"/>
          <w:u w:val="single"/>
        </w:rPr>
        <w:t>Animateur</w:t>
      </w:r>
      <w:r w:rsidR="009962F3">
        <w:rPr>
          <w:rFonts w:asciiTheme="majorHAnsi" w:eastAsia="Arial Unicode MS" w:hAnsiTheme="majorHAnsi" w:cs="Arial Unicode MS"/>
          <w:sz w:val="32"/>
          <w:szCs w:val="32"/>
          <w:u w:val="single"/>
        </w:rPr>
        <w:t>:</w:t>
      </w:r>
    </w:p>
    <w:p w:rsidR="005B3711" w:rsidRPr="00467ED5" w:rsidRDefault="005B3711" w:rsidP="005B371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9962F3" w:rsidRPr="00B158DF" w:rsidRDefault="009962F3" w:rsidP="009962F3">
      <w:pPr>
        <w:pStyle w:val="Pucetriangle"/>
        <w:numPr>
          <w:ilvl w:val="0"/>
          <w:numId w:val="0"/>
        </w:numPr>
        <w:ind w:left="170" w:hanging="170"/>
        <w:rPr>
          <w:rFonts w:ascii="Cambria" w:hAnsi="Cambria"/>
          <w:b/>
          <w:bCs/>
        </w:rPr>
      </w:pPr>
      <w:r w:rsidRPr="003A092B">
        <w:rPr>
          <w:rFonts w:asciiTheme="majorHAnsi" w:hAnsiTheme="majorHAnsi"/>
          <w:b/>
          <w:bCs/>
          <w:sz w:val="24"/>
          <w:szCs w:val="24"/>
        </w:rPr>
        <w:t>Monsieur</w:t>
      </w:r>
      <w:r w:rsidRPr="00B158DF">
        <w:rPr>
          <w:rFonts w:ascii="Cambria" w:hAnsi="Cambria"/>
          <w:b/>
          <w:bCs/>
        </w:rPr>
        <w:t xml:space="preserve">SI ALI HABIB </w:t>
      </w:r>
    </w:p>
    <w:p w:rsidR="009962F3" w:rsidRDefault="009962F3" w:rsidP="009962F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 xml:space="preserve"> Consultant formateur</w:t>
      </w:r>
    </w:p>
    <w:p w:rsidR="005B3711" w:rsidRPr="00467ED5" w:rsidRDefault="009962F3" w:rsidP="005B3711">
      <w:pPr>
        <w:pStyle w:val="Titre2"/>
        <w:ind w:left="1080"/>
        <w:rPr>
          <w:rFonts w:ascii="Cambria" w:hAnsi="Cambria"/>
          <w:color w:val="auto"/>
        </w:rPr>
      </w:pPr>
      <w:r>
        <w:rPr>
          <w:bCs w:val="0"/>
          <w:noProof/>
          <w:sz w:val="24"/>
          <w:szCs w:val="24"/>
        </w:rPr>
        <w:drawing>
          <wp:inline distT="0" distB="0" distL="0" distR="0">
            <wp:extent cx="1438275" cy="49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76" cy="49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711" w:rsidRPr="00467ED5" w:rsidRDefault="005B3711" w:rsidP="005B3711">
      <w:pPr>
        <w:spacing w:line="360" w:lineRule="auto"/>
        <w:rPr>
          <w:rFonts w:ascii="Cambria" w:hAnsi="Cambria" w:cs="Tahoma"/>
          <w:sz w:val="20"/>
        </w:rPr>
      </w:pPr>
    </w:p>
    <w:p w:rsidR="005B3711" w:rsidRPr="00467ED5" w:rsidRDefault="005B3711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Default="009962F3" w:rsidP="009962F3">
      <w:pPr>
        <w:spacing w:after="0" w:line="20" w:lineRule="atLeast"/>
        <w:rPr>
          <w:sz w:val="28"/>
          <w:szCs w:val="28"/>
        </w:rPr>
      </w:pPr>
    </w:p>
    <w:p w:rsidR="009962F3" w:rsidRPr="009962F3" w:rsidRDefault="009962F3" w:rsidP="009962F3">
      <w:pPr>
        <w:spacing w:after="0" w:line="20" w:lineRule="atLeast"/>
        <w:rPr>
          <w:sz w:val="28"/>
          <w:szCs w:val="28"/>
        </w:rPr>
      </w:pPr>
    </w:p>
    <w:p w:rsidR="0092062C" w:rsidRPr="00467ED5" w:rsidRDefault="009962F3" w:rsidP="009962F3">
      <w:pPr>
        <w:tabs>
          <w:tab w:val="left" w:pos="5625"/>
        </w:tabs>
        <w:spacing w:line="360" w:lineRule="auto"/>
        <w:jc w:val="both"/>
        <w:rPr>
          <w:rFonts w:ascii="Cambria" w:hAnsi="Cambria" w:cs="Tahoma"/>
          <w:sz w:val="20"/>
        </w:rPr>
      </w:pPr>
      <w:r>
        <w:rPr>
          <w:rFonts w:ascii="Cambria" w:hAnsi="Cambria" w:cs="Tahoma"/>
          <w:sz w:val="20"/>
        </w:rPr>
        <w:tab/>
      </w:r>
    </w:p>
    <w:p w:rsidR="009962F3" w:rsidRDefault="009962F3" w:rsidP="009962F3">
      <w:pPr>
        <w:pStyle w:val="Paragraphedeliste"/>
        <w:spacing w:after="0" w:line="20" w:lineRule="atLeast"/>
        <w:ind w:left="644"/>
        <w:rPr>
          <w:sz w:val="28"/>
          <w:szCs w:val="28"/>
        </w:rPr>
      </w:pPr>
    </w:p>
    <w:p w:rsidR="009962F3" w:rsidRDefault="009962F3" w:rsidP="009962F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9962F3" w:rsidRDefault="009962F3" w:rsidP="009962F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9962F3" w:rsidRDefault="009962F3" w:rsidP="009962F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9962F3" w:rsidRPr="00F00672" w:rsidRDefault="009962F3" w:rsidP="009962F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9962F3" w:rsidRDefault="009962F3" w:rsidP="009962F3">
      <w:pPr>
        <w:pStyle w:val="Paragraphedeliste"/>
        <w:spacing w:after="0" w:line="20" w:lineRule="atLeast"/>
        <w:ind w:left="644"/>
        <w:rPr>
          <w:sz w:val="28"/>
          <w:szCs w:val="28"/>
        </w:rPr>
      </w:pP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L’historique du contrat de travail en droit  algérien.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définition du contrat de travail.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conformité du contrat du travail :</w:t>
      </w:r>
    </w:p>
    <w:p w:rsidR="009962F3" w:rsidRPr="00467ED5" w:rsidRDefault="009962F3" w:rsidP="009962F3">
      <w:pPr>
        <w:ind w:left="360"/>
        <w:rPr>
          <w:sz w:val="28"/>
          <w:szCs w:val="28"/>
        </w:rPr>
      </w:pPr>
      <w:r w:rsidRPr="00467ED5">
        <w:rPr>
          <w:sz w:val="28"/>
          <w:szCs w:val="28"/>
        </w:rPr>
        <w:t xml:space="preserve">        a) dans la forme.</w:t>
      </w:r>
    </w:p>
    <w:p w:rsidR="009962F3" w:rsidRPr="00467ED5" w:rsidRDefault="009962F3" w:rsidP="009962F3">
      <w:pPr>
        <w:ind w:left="360"/>
        <w:rPr>
          <w:sz w:val="28"/>
          <w:szCs w:val="28"/>
        </w:rPr>
      </w:pPr>
      <w:r w:rsidRPr="00467ED5">
        <w:rPr>
          <w:sz w:val="28"/>
          <w:szCs w:val="28"/>
        </w:rPr>
        <w:t xml:space="preserve">        b) dans le fond.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obligations liées au recrutement.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élaboration du contrat de travail :</w:t>
      </w:r>
    </w:p>
    <w:p w:rsidR="009962F3" w:rsidRPr="00467ED5" w:rsidRDefault="009962F3" w:rsidP="009962F3">
      <w:pPr>
        <w:ind w:left="360"/>
        <w:rPr>
          <w:sz w:val="28"/>
          <w:szCs w:val="28"/>
        </w:rPr>
      </w:pPr>
      <w:r w:rsidRPr="00467ED5">
        <w:rPr>
          <w:sz w:val="28"/>
          <w:szCs w:val="28"/>
        </w:rPr>
        <w:t xml:space="preserve">             b) Types de contrats de travail.</w:t>
      </w:r>
    </w:p>
    <w:p w:rsidR="009962F3" w:rsidRPr="00467ED5" w:rsidRDefault="009962F3" w:rsidP="009962F3">
      <w:pPr>
        <w:ind w:left="360"/>
        <w:rPr>
          <w:sz w:val="28"/>
          <w:szCs w:val="28"/>
        </w:rPr>
      </w:pPr>
      <w:r w:rsidRPr="00467ED5">
        <w:rPr>
          <w:sz w:val="28"/>
          <w:szCs w:val="28"/>
        </w:rPr>
        <w:t xml:space="preserve">              c)  Clauses du contrat de travail.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exécution du contrat de travail.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Modification du contrat de travail.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 xml:space="preserve">  Suspension du contrat de travail.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Rupture du contrat de travail.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 xml:space="preserve">dispositions pénales. </w:t>
      </w:r>
    </w:p>
    <w:p w:rsidR="009962F3" w:rsidRPr="00467ED5" w:rsidRDefault="009962F3" w:rsidP="009962F3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467ED5">
        <w:rPr>
          <w:sz w:val="28"/>
          <w:szCs w:val="28"/>
        </w:rPr>
        <w:t>étude et examen de jurisprudences sur le contrat de travail.</w:t>
      </w: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sectPr w:rsidR="005B3711" w:rsidRPr="00CA7316" w:rsidSect="00E62D87">
      <w:footerReference w:type="default" r:id="rId12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7C" w:rsidRDefault="00FB097C" w:rsidP="00DC4419">
      <w:pPr>
        <w:spacing w:after="0" w:line="240" w:lineRule="auto"/>
      </w:pPr>
      <w:r>
        <w:separator/>
      </w:r>
    </w:p>
  </w:endnote>
  <w:endnote w:type="continuationSeparator" w:id="1">
    <w:p w:rsidR="00FB097C" w:rsidRDefault="00FB097C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2" w:rsidRPr="00DC4419" w:rsidRDefault="00B24542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7C" w:rsidRDefault="00FB097C" w:rsidP="00DC4419">
      <w:pPr>
        <w:spacing w:after="0" w:line="240" w:lineRule="auto"/>
      </w:pPr>
      <w:r>
        <w:separator/>
      </w:r>
    </w:p>
  </w:footnote>
  <w:footnote w:type="continuationSeparator" w:id="1">
    <w:p w:rsidR="00FB097C" w:rsidRDefault="00FB097C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DE"/>
    <w:multiLevelType w:val="multilevel"/>
    <w:tmpl w:val="9A6C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305DA"/>
    <w:multiLevelType w:val="multilevel"/>
    <w:tmpl w:val="52C0F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713877"/>
    <w:multiLevelType w:val="multilevel"/>
    <w:tmpl w:val="7A60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FD5192"/>
    <w:multiLevelType w:val="multilevel"/>
    <w:tmpl w:val="3DD0A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8E1487"/>
    <w:multiLevelType w:val="multilevel"/>
    <w:tmpl w:val="5B6E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C6F78DE"/>
    <w:multiLevelType w:val="multilevel"/>
    <w:tmpl w:val="CE4E2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AB2AB8"/>
    <w:multiLevelType w:val="multilevel"/>
    <w:tmpl w:val="EE2E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CF15291"/>
    <w:multiLevelType w:val="multilevel"/>
    <w:tmpl w:val="73C26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D96F90"/>
    <w:multiLevelType w:val="multilevel"/>
    <w:tmpl w:val="9F6A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CD6FA7"/>
    <w:multiLevelType w:val="multilevel"/>
    <w:tmpl w:val="FA00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6F7A91"/>
    <w:multiLevelType w:val="hybridMultilevel"/>
    <w:tmpl w:val="B30C4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F5176"/>
    <w:multiLevelType w:val="multilevel"/>
    <w:tmpl w:val="89C6D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B46B11"/>
    <w:multiLevelType w:val="multilevel"/>
    <w:tmpl w:val="1118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90B2B09"/>
    <w:multiLevelType w:val="hybridMultilevel"/>
    <w:tmpl w:val="469E9610"/>
    <w:lvl w:ilvl="0" w:tplc="2B9C6A56">
      <w:start w:val="1"/>
      <w:numFmt w:val="bullet"/>
      <w:pStyle w:val="Pucetriangle"/>
      <w:lvlText w:val=""/>
      <w:lvlJc w:val="left"/>
      <w:pPr>
        <w:ind w:left="170" w:hanging="170"/>
      </w:pPr>
      <w:rPr>
        <w:rFonts w:ascii="Wingdings 3" w:hAnsi="Wingdings 3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C06D8D"/>
    <w:multiLevelType w:val="hybridMultilevel"/>
    <w:tmpl w:val="BA4470C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10E"/>
    <w:multiLevelType w:val="multilevel"/>
    <w:tmpl w:val="0CE6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BC1346"/>
    <w:multiLevelType w:val="multilevel"/>
    <w:tmpl w:val="F2B4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E943DB3"/>
    <w:multiLevelType w:val="hybridMultilevel"/>
    <w:tmpl w:val="AFA0FDBC"/>
    <w:lvl w:ilvl="0" w:tplc="C26C623E">
      <w:start w:val="1"/>
      <w:numFmt w:val="bullet"/>
      <w:pStyle w:val="Puce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27B9D"/>
    <w:multiLevelType w:val="multilevel"/>
    <w:tmpl w:val="FE940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1B67FD5"/>
    <w:multiLevelType w:val="multilevel"/>
    <w:tmpl w:val="1EA4D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AC0066"/>
    <w:multiLevelType w:val="multilevel"/>
    <w:tmpl w:val="E0F6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792AEE"/>
    <w:multiLevelType w:val="hybridMultilevel"/>
    <w:tmpl w:val="125A677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D555C65"/>
    <w:multiLevelType w:val="multilevel"/>
    <w:tmpl w:val="0AC45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E22354"/>
    <w:multiLevelType w:val="hybridMultilevel"/>
    <w:tmpl w:val="FC12E844"/>
    <w:lvl w:ilvl="0" w:tplc="FF588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94822"/>
    <w:multiLevelType w:val="multilevel"/>
    <w:tmpl w:val="B240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B601A1C"/>
    <w:multiLevelType w:val="multilevel"/>
    <w:tmpl w:val="A498F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B375331"/>
    <w:multiLevelType w:val="multilevel"/>
    <w:tmpl w:val="6054F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E596024"/>
    <w:multiLevelType w:val="multilevel"/>
    <w:tmpl w:val="D6F61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22"/>
  </w:num>
  <w:num w:numId="10">
    <w:abstractNumId w:val="20"/>
  </w:num>
  <w:num w:numId="11">
    <w:abstractNumId w:val="4"/>
  </w:num>
  <w:num w:numId="12">
    <w:abstractNumId w:val="16"/>
  </w:num>
  <w:num w:numId="13">
    <w:abstractNumId w:val="18"/>
  </w:num>
  <w:num w:numId="14">
    <w:abstractNumId w:val="11"/>
  </w:num>
  <w:num w:numId="15">
    <w:abstractNumId w:val="24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25"/>
  </w:num>
  <w:num w:numId="21">
    <w:abstractNumId w:val="8"/>
  </w:num>
  <w:num w:numId="22">
    <w:abstractNumId w:val="15"/>
  </w:num>
  <w:num w:numId="23">
    <w:abstractNumId w:val="27"/>
  </w:num>
  <w:num w:numId="24">
    <w:abstractNumId w:val="7"/>
  </w:num>
  <w:num w:numId="25">
    <w:abstractNumId w:val="23"/>
  </w:num>
  <w:num w:numId="26">
    <w:abstractNumId w:val="21"/>
  </w:num>
  <w:num w:numId="27">
    <w:abstractNumId w:val="14"/>
  </w:num>
  <w:num w:numId="28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01986"/>
    <w:rsid w:val="0002684A"/>
    <w:rsid w:val="00026D72"/>
    <w:rsid w:val="0004038C"/>
    <w:rsid w:val="0004630B"/>
    <w:rsid w:val="000623B5"/>
    <w:rsid w:val="00066C42"/>
    <w:rsid w:val="000704AB"/>
    <w:rsid w:val="00072A33"/>
    <w:rsid w:val="00083DA3"/>
    <w:rsid w:val="00086D78"/>
    <w:rsid w:val="00095F6F"/>
    <w:rsid w:val="000B4B63"/>
    <w:rsid w:val="000C67FC"/>
    <w:rsid w:val="000D0F8D"/>
    <w:rsid w:val="000D40DC"/>
    <w:rsid w:val="000E7FC4"/>
    <w:rsid w:val="000F64C2"/>
    <w:rsid w:val="0010546E"/>
    <w:rsid w:val="00114209"/>
    <w:rsid w:val="0014462C"/>
    <w:rsid w:val="00147FF1"/>
    <w:rsid w:val="00192203"/>
    <w:rsid w:val="00195A85"/>
    <w:rsid w:val="001A7151"/>
    <w:rsid w:val="001D3F6F"/>
    <w:rsid w:val="001E19A1"/>
    <w:rsid w:val="001E357D"/>
    <w:rsid w:val="001E3A87"/>
    <w:rsid w:val="001F509C"/>
    <w:rsid w:val="00203745"/>
    <w:rsid w:val="002218A2"/>
    <w:rsid w:val="002241E5"/>
    <w:rsid w:val="00225966"/>
    <w:rsid w:val="00230DE1"/>
    <w:rsid w:val="00241B1A"/>
    <w:rsid w:val="00263FFE"/>
    <w:rsid w:val="00265626"/>
    <w:rsid w:val="00274222"/>
    <w:rsid w:val="00282459"/>
    <w:rsid w:val="00284E84"/>
    <w:rsid w:val="002B6064"/>
    <w:rsid w:val="002E0CD6"/>
    <w:rsid w:val="002F4F25"/>
    <w:rsid w:val="00302D6A"/>
    <w:rsid w:val="003131F2"/>
    <w:rsid w:val="0033228A"/>
    <w:rsid w:val="00356BFD"/>
    <w:rsid w:val="00374D9A"/>
    <w:rsid w:val="0038658F"/>
    <w:rsid w:val="00396ED0"/>
    <w:rsid w:val="003B0ECF"/>
    <w:rsid w:val="003B537C"/>
    <w:rsid w:val="003D56E4"/>
    <w:rsid w:val="003F51F9"/>
    <w:rsid w:val="003F64E0"/>
    <w:rsid w:val="00411914"/>
    <w:rsid w:val="004305E8"/>
    <w:rsid w:val="00432540"/>
    <w:rsid w:val="00452C5D"/>
    <w:rsid w:val="004622CE"/>
    <w:rsid w:val="00464652"/>
    <w:rsid w:val="00467ED5"/>
    <w:rsid w:val="00472617"/>
    <w:rsid w:val="00476A4B"/>
    <w:rsid w:val="004778F8"/>
    <w:rsid w:val="0048263B"/>
    <w:rsid w:val="00487145"/>
    <w:rsid w:val="004951EE"/>
    <w:rsid w:val="004A7399"/>
    <w:rsid w:val="004B5292"/>
    <w:rsid w:val="004B76DC"/>
    <w:rsid w:val="004E0180"/>
    <w:rsid w:val="004E1C4C"/>
    <w:rsid w:val="004E1EDB"/>
    <w:rsid w:val="004E5072"/>
    <w:rsid w:val="00516E9D"/>
    <w:rsid w:val="00523077"/>
    <w:rsid w:val="0053695E"/>
    <w:rsid w:val="00552D0E"/>
    <w:rsid w:val="00560977"/>
    <w:rsid w:val="00561F27"/>
    <w:rsid w:val="00572B5D"/>
    <w:rsid w:val="005A1BFA"/>
    <w:rsid w:val="005A2647"/>
    <w:rsid w:val="005A7493"/>
    <w:rsid w:val="005B3711"/>
    <w:rsid w:val="005B77FE"/>
    <w:rsid w:val="005C670A"/>
    <w:rsid w:val="00600515"/>
    <w:rsid w:val="00632D83"/>
    <w:rsid w:val="00635F86"/>
    <w:rsid w:val="006462CC"/>
    <w:rsid w:val="00651214"/>
    <w:rsid w:val="00657B0E"/>
    <w:rsid w:val="00657DF1"/>
    <w:rsid w:val="006849C1"/>
    <w:rsid w:val="00695E44"/>
    <w:rsid w:val="006A52AC"/>
    <w:rsid w:val="006B2B74"/>
    <w:rsid w:val="006C1127"/>
    <w:rsid w:val="006C189A"/>
    <w:rsid w:val="006D2219"/>
    <w:rsid w:val="006D561C"/>
    <w:rsid w:val="006D5C3C"/>
    <w:rsid w:val="006E5B43"/>
    <w:rsid w:val="006F79F3"/>
    <w:rsid w:val="007022DE"/>
    <w:rsid w:val="00751309"/>
    <w:rsid w:val="00761B46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2768F"/>
    <w:rsid w:val="008304D5"/>
    <w:rsid w:val="0085187F"/>
    <w:rsid w:val="00860890"/>
    <w:rsid w:val="0086535A"/>
    <w:rsid w:val="00885258"/>
    <w:rsid w:val="008917A0"/>
    <w:rsid w:val="008952A8"/>
    <w:rsid w:val="008C7277"/>
    <w:rsid w:val="008C7B8F"/>
    <w:rsid w:val="008D1087"/>
    <w:rsid w:val="008E2DA9"/>
    <w:rsid w:val="009035C0"/>
    <w:rsid w:val="00904170"/>
    <w:rsid w:val="00920338"/>
    <w:rsid w:val="0092062C"/>
    <w:rsid w:val="00952C6B"/>
    <w:rsid w:val="00986084"/>
    <w:rsid w:val="009962F3"/>
    <w:rsid w:val="009A0187"/>
    <w:rsid w:val="009A47CA"/>
    <w:rsid w:val="009C65DE"/>
    <w:rsid w:val="009C6EF9"/>
    <w:rsid w:val="009F3D16"/>
    <w:rsid w:val="009F5B58"/>
    <w:rsid w:val="00A0404C"/>
    <w:rsid w:val="00A25E10"/>
    <w:rsid w:val="00A2791E"/>
    <w:rsid w:val="00A33BD0"/>
    <w:rsid w:val="00A449F4"/>
    <w:rsid w:val="00A54982"/>
    <w:rsid w:val="00A556B7"/>
    <w:rsid w:val="00A56576"/>
    <w:rsid w:val="00A66DF3"/>
    <w:rsid w:val="00A679D7"/>
    <w:rsid w:val="00A75AE4"/>
    <w:rsid w:val="00A96EE1"/>
    <w:rsid w:val="00AA4266"/>
    <w:rsid w:val="00AB1730"/>
    <w:rsid w:val="00AB41E9"/>
    <w:rsid w:val="00AC2E8F"/>
    <w:rsid w:val="00AD3700"/>
    <w:rsid w:val="00B06534"/>
    <w:rsid w:val="00B24542"/>
    <w:rsid w:val="00B446DA"/>
    <w:rsid w:val="00B4490D"/>
    <w:rsid w:val="00B635CD"/>
    <w:rsid w:val="00B74252"/>
    <w:rsid w:val="00B832BA"/>
    <w:rsid w:val="00BA65DF"/>
    <w:rsid w:val="00BC03A9"/>
    <w:rsid w:val="00BC10F2"/>
    <w:rsid w:val="00BC1B0C"/>
    <w:rsid w:val="00BC635D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0F5"/>
    <w:rsid w:val="00C51B76"/>
    <w:rsid w:val="00C7313F"/>
    <w:rsid w:val="00C763B6"/>
    <w:rsid w:val="00C84E77"/>
    <w:rsid w:val="00C97746"/>
    <w:rsid w:val="00CA5663"/>
    <w:rsid w:val="00CB5F89"/>
    <w:rsid w:val="00CC1E56"/>
    <w:rsid w:val="00CC1F21"/>
    <w:rsid w:val="00CE15B6"/>
    <w:rsid w:val="00CE3729"/>
    <w:rsid w:val="00D00AB4"/>
    <w:rsid w:val="00D076D8"/>
    <w:rsid w:val="00D216A5"/>
    <w:rsid w:val="00D243AE"/>
    <w:rsid w:val="00D404D7"/>
    <w:rsid w:val="00D42560"/>
    <w:rsid w:val="00D71F4D"/>
    <w:rsid w:val="00D85B2C"/>
    <w:rsid w:val="00D95D70"/>
    <w:rsid w:val="00DA2137"/>
    <w:rsid w:val="00DA6F8B"/>
    <w:rsid w:val="00DB147F"/>
    <w:rsid w:val="00DB1B91"/>
    <w:rsid w:val="00DC22F6"/>
    <w:rsid w:val="00DC4419"/>
    <w:rsid w:val="00DD11B7"/>
    <w:rsid w:val="00E03D96"/>
    <w:rsid w:val="00E42849"/>
    <w:rsid w:val="00E47482"/>
    <w:rsid w:val="00E62D87"/>
    <w:rsid w:val="00E7392D"/>
    <w:rsid w:val="00EB706C"/>
    <w:rsid w:val="00ED0B1C"/>
    <w:rsid w:val="00ED2FC9"/>
    <w:rsid w:val="00F124A4"/>
    <w:rsid w:val="00F157D6"/>
    <w:rsid w:val="00F17CCC"/>
    <w:rsid w:val="00F230DD"/>
    <w:rsid w:val="00F329C1"/>
    <w:rsid w:val="00F474D8"/>
    <w:rsid w:val="00F51086"/>
    <w:rsid w:val="00F51CC9"/>
    <w:rsid w:val="00F70CE3"/>
    <w:rsid w:val="00FB097C"/>
    <w:rsid w:val="00FC1BFB"/>
    <w:rsid w:val="00FD7AF8"/>
    <w:rsid w:val="00FE347D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B4B63"/>
    <w:pPr>
      <w:pBdr>
        <w:bottom w:val="single" w:sz="8" w:space="4" w:color="4F81BD" w:themeColor="accent1"/>
      </w:pBdr>
      <w:spacing w:before="60"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B4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ucetiret">
    <w:name w:val="Puce tiret"/>
    <w:basedOn w:val="Pucetriangle"/>
    <w:qFormat/>
    <w:rsid w:val="000B4B63"/>
    <w:pPr>
      <w:numPr>
        <w:numId w:val="2"/>
      </w:numPr>
      <w:ind w:left="340" w:hanging="170"/>
    </w:pPr>
  </w:style>
  <w:style w:type="character" w:styleId="Titredulivre">
    <w:name w:val="Book Title"/>
    <w:basedOn w:val="Policepardfaut"/>
    <w:uiPriority w:val="33"/>
    <w:qFormat/>
    <w:rsid w:val="000B4B63"/>
    <w:rPr>
      <w:rFonts w:asciiTheme="majorHAnsi" w:hAnsiTheme="majorHAnsi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B4B63"/>
    <w:pPr>
      <w:spacing w:after="0" w:line="240" w:lineRule="auto"/>
      <w:ind w:firstLine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0B4B63"/>
    <w:rPr>
      <w:rFonts w:asciiTheme="minorHAnsi" w:hAnsiTheme="minorHAnsi"/>
      <w:b/>
      <w:bCs/>
      <w:smallCaps/>
      <w:color w:val="C0504D" w:themeColor="accent2"/>
      <w:spacing w:val="5"/>
      <w:sz w:val="22"/>
      <w:u w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B63"/>
    <w:pPr>
      <w:spacing w:before="120" w:after="120" w:line="240" w:lineRule="auto"/>
      <w:jc w:val="center"/>
    </w:pPr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B63"/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styleId="Emphaseintense">
    <w:name w:val="Intense Emphasis"/>
    <w:basedOn w:val="Policepardfaut"/>
    <w:uiPriority w:val="21"/>
    <w:qFormat/>
    <w:rsid w:val="000B4B63"/>
    <w:rPr>
      <w:b/>
      <w:bCs/>
      <w:i/>
      <w:iCs/>
      <w:color w:val="4F81BD" w:themeColor="accent1"/>
    </w:rPr>
  </w:style>
  <w:style w:type="paragraph" w:customStyle="1" w:styleId="Pucetriangle">
    <w:name w:val="Puce triangle"/>
    <w:basedOn w:val="Normal"/>
    <w:qFormat/>
    <w:rsid w:val="000B4B63"/>
    <w:pPr>
      <w:numPr>
        <w:numId w:val="1"/>
      </w:numPr>
      <w:spacing w:before="60" w:after="60" w:line="240" w:lineRule="auto"/>
      <w:jc w:val="both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B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E656-E4A9-42A7-906C-DB23440F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2018-11-06T18:07:00Z</dcterms:created>
  <dcterms:modified xsi:type="dcterms:W3CDTF">2018-11-06T18:07:00Z</dcterms:modified>
</cp:coreProperties>
</file>