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D87" w:rsidRPr="00930381" w:rsidRDefault="00E62D87" w:rsidP="00E62D87">
      <w:pPr>
        <w:autoSpaceDE w:val="0"/>
        <w:autoSpaceDN w:val="0"/>
        <w:adjustRightInd w:val="0"/>
        <w:spacing w:after="0" w:line="240" w:lineRule="auto"/>
        <w:ind w:left="7082" w:right="-425" w:firstLine="431"/>
        <w:rPr>
          <w:rFonts w:ascii="Cambria" w:hAnsi="Cambria" w:cs="TimesNewRomanPSMT"/>
          <w:sz w:val="16"/>
          <w:szCs w:val="16"/>
        </w:rPr>
      </w:pPr>
      <w:r>
        <w:rPr>
          <w:rFonts w:ascii="Cambria" w:hAnsi="Cambria" w:cs="TimesNewRomanPSMT"/>
          <w:noProof/>
          <w:sz w:val="16"/>
          <w:szCs w:val="1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-205740</wp:posOffset>
            </wp:positionH>
            <wp:positionV relativeFrom="paragraph">
              <wp:posOffset>-74295</wp:posOffset>
            </wp:positionV>
            <wp:extent cx="1533525" cy="447675"/>
            <wp:effectExtent l="19050" t="0" r="9525" b="0"/>
            <wp:wrapNone/>
            <wp:docPr id="3" name="Image 2" descr="GFA LOGO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GFA LOGO FINA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1DBD">
        <w:rPr>
          <w:rFonts w:ascii="Cambria" w:hAnsi="Cambria" w:cs="TimesNewRomanPSMT"/>
          <w:noProof/>
          <w:sz w:val="16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371.55pt;margin-top:-2.45pt;width:0;height:62.25pt;z-index:251658240;mso-position-horizontal-relative:text;mso-position-vertical-relative:text" o:connectortype="straight"/>
        </w:pict>
      </w:r>
      <w:r w:rsidRPr="00930381">
        <w:rPr>
          <w:rFonts w:ascii="Cambria" w:hAnsi="Cambria" w:cs="TimesNewRomanPSMT"/>
          <w:sz w:val="16"/>
          <w:szCs w:val="16"/>
        </w:rPr>
        <w:t>GFA sarl</w:t>
      </w:r>
      <w:r w:rsidRPr="00930381">
        <w:rPr>
          <w:rFonts w:ascii="Cambria" w:hAnsi="Cambria" w:cs="TimesNewRomanPSMT"/>
          <w:sz w:val="16"/>
          <w:szCs w:val="16"/>
        </w:rPr>
        <w:tab/>
      </w:r>
    </w:p>
    <w:p w:rsidR="00E62D87" w:rsidRDefault="00E62D87" w:rsidP="00E62D87">
      <w:pPr>
        <w:autoSpaceDE w:val="0"/>
        <w:autoSpaceDN w:val="0"/>
        <w:adjustRightInd w:val="0"/>
        <w:spacing w:after="0" w:line="240" w:lineRule="auto"/>
        <w:ind w:left="7082" w:right="-425" w:firstLine="431"/>
        <w:rPr>
          <w:rFonts w:ascii="Cambria" w:hAnsi="Cambria" w:cs="TimesNewRomanPSMT"/>
          <w:sz w:val="16"/>
          <w:szCs w:val="16"/>
        </w:rPr>
      </w:pPr>
      <w:r w:rsidRPr="00930381">
        <w:rPr>
          <w:rFonts w:ascii="Cambria" w:hAnsi="Cambria" w:cs="TimesNewRomanPSMT"/>
          <w:sz w:val="16"/>
          <w:szCs w:val="16"/>
        </w:rPr>
        <w:t xml:space="preserve">GLOBAL FINANCE ALGERIA </w:t>
      </w:r>
    </w:p>
    <w:p w:rsidR="00E62D87" w:rsidRPr="00F25FA6" w:rsidRDefault="00E62D87" w:rsidP="00E62D87">
      <w:pPr>
        <w:autoSpaceDE w:val="0"/>
        <w:autoSpaceDN w:val="0"/>
        <w:adjustRightInd w:val="0"/>
        <w:spacing w:after="0" w:line="240" w:lineRule="auto"/>
        <w:ind w:left="7082" w:right="-425" w:firstLine="431"/>
        <w:rPr>
          <w:rFonts w:ascii="Cambria" w:hAnsi="Cambria" w:cs="TimesNewRomanPSMT"/>
          <w:sz w:val="16"/>
          <w:szCs w:val="16"/>
        </w:rPr>
      </w:pPr>
      <w:r w:rsidRPr="00F25FA6">
        <w:rPr>
          <w:rFonts w:ascii="Cambria" w:hAnsi="Cambria" w:cs="TimesNewRomanPSMT"/>
          <w:sz w:val="16"/>
          <w:szCs w:val="16"/>
        </w:rPr>
        <w:t>Complexe Wakf Haï El Kiram</w:t>
      </w:r>
    </w:p>
    <w:p w:rsidR="00E62D87" w:rsidRPr="00F25FA6" w:rsidRDefault="001E1DBD" w:rsidP="00E62D87">
      <w:pPr>
        <w:autoSpaceDE w:val="0"/>
        <w:autoSpaceDN w:val="0"/>
        <w:adjustRightInd w:val="0"/>
        <w:spacing w:after="0" w:line="240" w:lineRule="auto"/>
        <w:ind w:left="7082" w:right="-425" w:firstLine="431"/>
        <w:rPr>
          <w:rFonts w:ascii="Cambria" w:hAnsi="Cambria" w:cs="TimesNewRomanPSMT"/>
          <w:sz w:val="16"/>
          <w:szCs w:val="16"/>
        </w:rPr>
      </w:pPr>
      <w:r>
        <w:rPr>
          <w:rFonts w:ascii="Cambria" w:hAnsi="Cambria" w:cs="TimesNewRomanPSMT"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289.05pt;margin-top:-17.65pt;width:1in;height:36pt;z-index:251665408" strokecolor="white">
            <v:textbox>
              <w:txbxContent>
                <w:p w:rsidR="00E62D87" w:rsidRPr="00E642C1" w:rsidRDefault="001E1DBD" w:rsidP="00E62D87">
                  <w:pPr>
                    <w:spacing w:after="60" w:line="240" w:lineRule="auto"/>
                    <w:jc w:val="center"/>
                    <w:rPr>
                      <w:rFonts w:ascii="Cambria" w:hAnsi="Cambria"/>
                      <w:sz w:val="16"/>
                      <w:szCs w:val="16"/>
                    </w:rPr>
                  </w:pPr>
                  <w:hyperlink r:id="rId9" w:history="1">
                    <w:r w:rsidR="00E62D87" w:rsidRPr="00E642C1">
                      <w:rPr>
                        <w:rStyle w:val="Lienhypertexte"/>
                        <w:rFonts w:ascii="Cambria" w:hAnsi="Cambria"/>
                        <w:color w:val="auto"/>
                        <w:sz w:val="16"/>
                        <w:szCs w:val="16"/>
                        <w:u w:val="none"/>
                      </w:rPr>
                      <w:t>contact@gfa.dz</w:t>
                    </w:r>
                  </w:hyperlink>
                </w:p>
                <w:p w:rsidR="00E62D87" w:rsidRPr="00E642C1" w:rsidRDefault="001E1DBD" w:rsidP="00E62D87">
                  <w:pPr>
                    <w:spacing w:after="60" w:line="240" w:lineRule="auto"/>
                    <w:jc w:val="center"/>
                    <w:rPr>
                      <w:rFonts w:ascii="Cambria" w:hAnsi="Cambria"/>
                      <w:sz w:val="16"/>
                      <w:szCs w:val="16"/>
                    </w:rPr>
                  </w:pPr>
                  <w:hyperlink r:id="rId10" w:history="1">
                    <w:r w:rsidR="00E62D87" w:rsidRPr="00E642C1">
                      <w:rPr>
                        <w:rStyle w:val="Lienhypertexte"/>
                        <w:rFonts w:ascii="Cambria" w:hAnsi="Cambria"/>
                        <w:color w:val="auto"/>
                        <w:sz w:val="16"/>
                        <w:szCs w:val="16"/>
                        <w:u w:val="none"/>
                      </w:rPr>
                      <w:t>www.gfa.dz</w:t>
                    </w:r>
                  </w:hyperlink>
                </w:p>
                <w:p w:rsidR="00E62D87" w:rsidRPr="00FE1541" w:rsidRDefault="00E62D87" w:rsidP="00E62D87">
                  <w:pPr>
                    <w:spacing w:after="120"/>
                    <w:jc w:val="center"/>
                    <w:rPr>
                      <w:rFonts w:ascii="Cambria" w:hAnsi="Cambria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E62D87" w:rsidRPr="00F25FA6">
        <w:rPr>
          <w:rFonts w:ascii="Cambria" w:hAnsi="Cambria" w:cs="TimesNewRomanPSMT"/>
          <w:sz w:val="16"/>
          <w:szCs w:val="16"/>
        </w:rPr>
        <w:t>Rue Abdelkader MEZOUAR</w:t>
      </w:r>
    </w:p>
    <w:p w:rsidR="00E62D87" w:rsidRPr="00F25FA6" w:rsidRDefault="001E1DBD" w:rsidP="00E62D87">
      <w:pPr>
        <w:autoSpaceDE w:val="0"/>
        <w:autoSpaceDN w:val="0"/>
        <w:adjustRightInd w:val="0"/>
        <w:spacing w:after="0" w:line="240" w:lineRule="auto"/>
        <w:ind w:left="7082" w:right="-425" w:firstLine="431"/>
        <w:rPr>
          <w:rFonts w:ascii="Cambria" w:hAnsi="Cambria" w:cs="TimesNewRomanPSMT"/>
          <w:sz w:val="16"/>
          <w:szCs w:val="16"/>
        </w:rPr>
      </w:pPr>
      <w:r>
        <w:rPr>
          <w:rFonts w:ascii="Cambria" w:hAnsi="Cambria" w:cs="TimesNewRomanPSMT"/>
          <w:noProof/>
          <w:sz w:val="16"/>
          <w:szCs w:val="16"/>
        </w:rPr>
        <w:pict>
          <v:shape id="_x0000_s1032" type="#_x0000_t202" style="position:absolute;left:0;text-align:left;margin-left:-19.95pt;margin-top:-9.6pt;width:221.95pt;height:37.75pt;z-index:251664384" strokecolor="white">
            <v:textbox>
              <w:txbxContent>
                <w:p w:rsidR="00E62D87" w:rsidRPr="00FE1541" w:rsidRDefault="00E62D87" w:rsidP="00E62D87">
                  <w:pPr>
                    <w:spacing w:after="0" w:line="240" w:lineRule="auto"/>
                    <w:outlineLv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1541">
                    <w:rPr>
                      <w:rFonts w:ascii="Arial" w:hAnsi="Arial" w:cs="Arial"/>
                      <w:sz w:val="20"/>
                      <w:szCs w:val="20"/>
                    </w:rPr>
                    <w:t>Financial Training &amp; Consulting Company</w:t>
                  </w:r>
                </w:p>
                <w:p w:rsidR="00E62D87" w:rsidRPr="00FE1541" w:rsidRDefault="00E62D87" w:rsidP="00E62D87">
                  <w:pPr>
                    <w:spacing w:after="0" w:line="240" w:lineRule="auto"/>
                    <w:outlineLvl w:val="0"/>
                    <w:rPr>
                      <w:rFonts w:ascii="Arial" w:hAnsi="Arial" w:cs="Arial"/>
                    </w:rPr>
                  </w:pPr>
                  <w:r w:rsidRPr="00377730">
                    <w:rPr>
                      <w:rFonts w:ascii="Arial" w:hAnsi="Arial" w:cs="Arial"/>
                      <w:b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cole </w:t>
                  </w:r>
                  <w:r w:rsidRPr="00377730">
                    <w:rPr>
                      <w:rFonts w:ascii="Arial" w:hAnsi="Arial" w:cs="Arial"/>
                      <w:b/>
                      <w:sz w:val="16"/>
                      <w:szCs w:val="16"/>
                    </w:rPr>
                    <w:t>Agré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é</w:t>
                  </w:r>
                  <w:r w:rsidRPr="00377730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e par l’Etat </w:t>
                  </w:r>
                </w:p>
                <w:p w:rsidR="00E62D87" w:rsidRPr="00473272" w:rsidRDefault="00E62D87" w:rsidP="00E62D87">
                  <w:pPr>
                    <w:outlineLvl w:val="0"/>
                    <w:rPr>
                      <w:b/>
                    </w:rPr>
                  </w:pPr>
                  <w:r w:rsidRPr="00377730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Arrêté N°5044 </w:t>
                  </w:r>
                </w:p>
                <w:p w:rsidR="00E62D87" w:rsidRDefault="00E62D87" w:rsidP="00E62D87"/>
              </w:txbxContent>
            </v:textbox>
          </v:shape>
        </w:pict>
      </w:r>
      <w:r w:rsidR="00E62D87" w:rsidRPr="00F25FA6">
        <w:rPr>
          <w:rFonts w:ascii="Cambria" w:hAnsi="Cambria" w:cs="TimesNewRomanPSMT"/>
          <w:sz w:val="16"/>
          <w:szCs w:val="16"/>
        </w:rPr>
        <w:t>Bt 07 Tixerain, Birkhadem, Alger</w:t>
      </w:r>
    </w:p>
    <w:p w:rsidR="00E62D87" w:rsidRPr="00F25FA6" w:rsidRDefault="00E62D87" w:rsidP="00E62D87">
      <w:pPr>
        <w:autoSpaceDE w:val="0"/>
        <w:autoSpaceDN w:val="0"/>
        <w:adjustRightInd w:val="0"/>
        <w:spacing w:after="0" w:line="240" w:lineRule="auto"/>
        <w:ind w:left="7082" w:right="-425" w:firstLine="431"/>
        <w:rPr>
          <w:rFonts w:ascii="Cambria" w:hAnsi="Cambria" w:cs="TimesNewRomanPSMT"/>
          <w:sz w:val="16"/>
          <w:szCs w:val="16"/>
        </w:rPr>
      </w:pPr>
      <w:r w:rsidRPr="00F25FA6">
        <w:rPr>
          <w:rFonts w:ascii="Cambria" w:hAnsi="Cambria" w:cs="TimesNewRomanPSMT"/>
          <w:sz w:val="16"/>
          <w:szCs w:val="16"/>
        </w:rPr>
        <w:t>Tél/Fax : +213 (0) 21 57 00 39</w:t>
      </w:r>
    </w:p>
    <w:p w:rsidR="00E62D87" w:rsidRPr="00F25FA6" w:rsidRDefault="00E62D87" w:rsidP="00E62D87">
      <w:pPr>
        <w:autoSpaceDE w:val="0"/>
        <w:autoSpaceDN w:val="0"/>
        <w:adjustRightInd w:val="0"/>
        <w:spacing w:after="0" w:line="240" w:lineRule="auto"/>
        <w:ind w:left="7082" w:right="-425" w:firstLine="431"/>
        <w:rPr>
          <w:rFonts w:ascii="Cambria" w:hAnsi="Cambria" w:cs="TimesNewRomanPSMT"/>
          <w:sz w:val="16"/>
          <w:szCs w:val="16"/>
        </w:rPr>
      </w:pPr>
    </w:p>
    <w:p w:rsidR="00E62D87" w:rsidRDefault="001E1DBD" w:rsidP="00E62D87">
      <w:r w:rsidRPr="001E1DBD">
        <w:rPr>
          <w:rFonts w:ascii="Arial Narrow" w:hAnsi="Arial Narrow"/>
          <w:i/>
          <w:iCs/>
          <w:noProof/>
          <w:color w:val="993300"/>
          <w:sz w:val="20"/>
          <w:szCs w:val="20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7" type="#_x0000_t176" style="position:absolute;margin-left:63.35pt;margin-top:12.8pt;width:333pt;height:66.4pt;z-index:-251655168" strokecolor="#c00000">
            <v:textbox style="mso-next-textbox:#_x0000_s1027">
              <w:txbxContent>
                <w:p w:rsidR="00CE1A32" w:rsidRDefault="00CE1A32" w:rsidP="00CE1A32">
                  <w:pPr>
                    <w:spacing w:after="0" w:line="360" w:lineRule="auto"/>
                    <w:ind w:left="360"/>
                    <w:jc w:val="center"/>
                    <w:rPr>
                      <w:rFonts w:ascii="Constantia" w:eastAsia="Times New Roman" w:hAnsi="Constantia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CE1A32">
                    <w:rPr>
                      <w:rFonts w:ascii="Constantia" w:eastAsia="Times New Roman" w:hAnsi="Constantia" w:cs="Times New Roman"/>
                      <w:b/>
                      <w:color w:val="000000" w:themeColor="text1"/>
                      <w:sz w:val="24"/>
                      <w:szCs w:val="24"/>
                    </w:rPr>
                    <w:t>LE RECOUVREMENT   DES   CREANCES IMPAYE</w:t>
                  </w:r>
                  <w:r w:rsidR="003C268F">
                    <w:rPr>
                      <w:rFonts w:ascii="Constantia" w:eastAsia="Times New Roman" w:hAnsi="Constantia" w:cs="Times New Roman"/>
                      <w:b/>
                      <w:color w:val="000000" w:themeColor="text1"/>
                      <w:sz w:val="24"/>
                      <w:szCs w:val="24"/>
                    </w:rPr>
                    <w:t>E</w:t>
                  </w:r>
                  <w:r w:rsidRPr="00CE1A32">
                    <w:rPr>
                      <w:rFonts w:ascii="Constantia" w:eastAsia="Times New Roman" w:hAnsi="Constantia" w:cs="Times New Roman"/>
                      <w:b/>
                      <w:color w:val="000000" w:themeColor="text1"/>
                      <w:sz w:val="24"/>
                      <w:szCs w:val="24"/>
                    </w:rPr>
                    <w:t>S</w:t>
                  </w:r>
                </w:p>
                <w:p w:rsidR="00CE1A32" w:rsidRPr="00CE1A32" w:rsidRDefault="00CE1A32" w:rsidP="00CE1A32">
                  <w:pPr>
                    <w:spacing w:after="0" w:line="360" w:lineRule="auto"/>
                    <w:ind w:left="360"/>
                    <w:jc w:val="center"/>
                    <w:rPr>
                      <w:rFonts w:asciiTheme="majorBidi" w:eastAsia="Times New Roman" w:hAnsiTheme="majorBidi" w:cstheme="majorBidi"/>
                      <w:b/>
                      <w:color w:val="000000" w:themeColor="text1"/>
                      <w:sz w:val="24"/>
                      <w:szCs w:val="24"/>
                    </w:rPr>
                  </w:pPr>
                  <w:r w:rsidRPr="00754DA6">
                    <w:rPr>
                      <w:rFonts w:ascii="Constantia" w:eastAsia="Times New Roman" w:hAnsi="Constantia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Le : </w:t>
                  </w:r>
                  <w:r w:rsidRPr="00754DA6">
                    <w:rPr>
                      <w:rFonts w:asciiTheme="majorBidi" w:eastAsia="Times New Roman" w:hAnsiTheme="majorBidi" w:cstheme="majorBidi"/>
                      <w:b/>
                      <w:color w:val="000000" w:themeColor="text1"/>
                      <w:sz w:val="24"/>
                      <w:szCs w:val="24"/>
                    </w:rPr>
                    <w:t>17/18/19</w:t>
                  </w:r>
                  <w:r w:rsidR="00754DA6">
                    <w:rPr>
                      <w:rFonts w:asciiTheme="majorBidi" w:eastAsia="Times New Roman" w:hAnsiTheme="majorBidi" w:cstheme="majorBidi"/>
                      <w:b/>
                      <w:color w:val="000000" w:themeColor="text1"/>
                      <w:sz w:val="24"/>
                      <w:szCs w:val="24"/>
                    </w:rPr>
                    <w:t>Décembre 2018</w:t>
                  </w:r>
                </w:p>
                <w:p w:rsidR="00AA4266" w:rsidRDefault="00AA4266" w:rsidP="00CE1A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/>
                      <w:b/>
                      <w:bCs/>
                      <w:smallCaps/>
                    </w:rPr>
                  </w:pPr>
                </w:p>
              </w:txbxContent>
            </v:textbox>
          </v:shape>
        </w:pict>
      </w:r>
    </w:p>
    <w:p w:rsidR="00E62D87" w:rsidRPr="00E62D87" w:rsidRDefault="00E62D87" w:rsidP="00E62D87"/>
    <w:p w:rsidR="00BE49C4" w:rsidRDefault="00BE49C4" w:rsidP="00F329C1">
      <w:pPr>
        <w:pStyle w:val="Titre1"/>
        <w:rPr>
          <w:rFonts w:ascii="Arial Narrow" w:hAnsi="Arial Narrow"/>
          <w:i/>
          <w:iCs/>
          <w:color w:val="993300"/>
          <w:sz w:val="20"/>
          <w:szCs w:val="20"/>
        </w:rPr>
      </w:pPr>
    </w:p>
    <w:p w:rsidR="003D56E4" w:rsidRDefault="001E1DBD" w:rsidP="00F329C1">
      <w:pPr>
        <w:pStyle w:val="Titre1"/>
        <w:rPr>
          <w:rFonts w:ascii="Arial Narrow" w:hAnsi="Arial Narrow"/>
          <w:i/>
          <w:iCs/>
          <w:color w:val="993300"/>
          <w:sz w:val="20"/>
          <w:szCs w:val="20"/>
        </w:rPr>
      </w:pPr>
      <w:r w:rsidRPr="001E1DBD">
        <w:rPr>
          <w:rFonts w:ascii="Arial Narrow" w:hAnsi="Arial Narrow"/>
          <w:b w:val="0"/>
          <w:bCs w:val="0"/>
          <w:i/>
          <w:iCs/>
          <w:noProof/>
          <w:color w:val="993300"/>
          <w:sz w:val="20"/>
          <w:szCs w:val="20"/>
        </w:rPr>
        <w:pict>
          <v:shape id="_x0000_s1026" type="#_x0000_t176" style="position:absolute;left:0;text-align:left;margin-left:301.85pt;margin-top:7.15pt;width:94.5pt;height:25.5pt;z-index:251660288">
            <v:textbox style="mso-next-textbox:#_x0000_s1026">
              <w:txbxContent>
                <w:p w:rsidR="00CE1A32" w:rsidRPr="006D78AF" w:rsidRDefault="00CE1A32" w:rsidP="00CE1A32">
                  <w:pPr>
                    <w:jc w:val="center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  <w:r w:rsidRPr="006D78AF">
                    <w:rPr>
                      <w:rFonts w:eastAsiaTheme="minorHAnsi"/>
                      <w:color w:val="FF0000"/>
                      <w:sz w:val="24"/>
                      <w:szCs w:val="24"/>
                      <w:lang w:eastAsia="en-US"/>
                    </w:rPr>
                    <w:t>Durée :</w:t>
                  </w:r>
                  <w:r w:rsidRPr="006D78AF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 xml:space="preserve"> 3 jours</w:t>
                  </w:r>
                </w:p>
                <w:p w:rsidR="00F329C1" w:rsidRPr="002D7D19" w:rsidRDefault="00F329C1" w:rsidP="002D7D19"/>
              </w:txbxContent>
            </v:textbox>
          </v:shape>
        </w:pict>
      </w:r>
    </w:p>
    <w:p w:rsidR="003D56E4" w:rsidRDefault="003D56E4" w:rsidP="00F329C1">
      <w:pPr>
        <w:pStyle w:val="Titre1"/>
        <w:rPr>
          <w:rFonts w:ascii="Arial Narrow" w:hAnsi="Arial Narrow"/>
          <w:i/>
          <w:iCs/>
          <w:color w:val="993300"/>
          <w:sz w:val="20"/>
          <w:szCs w:val="20"/>
        </w:rPr>
      </w:pPr>
    </w:p>
    <w:p w:rsidR="003D56E4" w:rsidRDefault="003D56E4" w:rsidP="00F329C1">
      <w:pPr>
        <w:pStyle w:val="Titre1"/>
        <w:rPr>
          <w:rFonts w:ascii="Arial Narrow" w:hAnsi="Arial Narrow"/>
          <w:i/>
          <w:iCs/>
          <w:color w:val="993300"/>
          <w:sz w:val="20"/>
          <w:szCs w:val="20"/>
        </w:rPr>
      </w:pPr>
    </w:p>
    <w:p w:rsidR="003D56E4" w:rsidRDefault="003D56E4" w:rsidP="00F329C1">
      <w:pPr>
        <w:pStyle w:val="Titre1"/>
        <w:rPr>
          <w:rFonts w:ascii="Arial Narrow" w:hAnsi="Arial Narrow"/>
          <w:i/>
          <w:iCs/>
          <w:color w:val="993300"/>
          <w:sz w:val="20"/>
          <w:szCs w:val="20"/>
        </w:rPr>
      </w:pPr>
    </w:p>
    <w:p w:rsidR="003D56E4" w:rsidRDefault="003D56E4" w:rsidP="00F329C1">
      <w:pPr>
        <w:pStyle w:val="Titre1"/>
        <w:rPr>
          <w:rFonts w:ascii="Arial Narrow" w:hAnsi="Arial Narrow"/>
          <w:i/>
          <w:iCs/>
          <w:color w:val="993300"/>
          <w:sz w:val="20"/>
          <w:szCs w:val="20"/>
        </w:rPr>
      </w:pPr>
    </w:p>
    <w:p w:rsidR="00AA4266" w:rsidRDefault="00CB5F89" w:rsidP="00754DA6">
      <w:pPr>
        <w:autoSpaceDE w:val="0"/>
        <w:autoSpaceDN w:val="0"/>
        <w:adjustRightInd w:val="0"/>
        <w:spacing w:after="0" w:line="240" w:lineRule="auto"/>
        <w:jc w:val="both"/>
        <w:rPr>
          <w:rFonts w:ascii="HypatiaSansPro-Bold" w:eastAsia="Times New Roman" w:hAnsi="Calibri" w:cs="HypatiaSansPro-Bold"/>
          <w:b/>
          <w:bCs/>
        </w:rPr>
      </w:pPr>
      <w:r>
        <w:rPr>
          <w:rFonts w:ascii="HypatiaSansPro-Bold" w:eastAsia="Times New Roman" w:hAnsi="Calibri" w:cs="HypatiaSansPro-Bold"/>
          <w:b/>
          <w:bCs/>
        </w:rPr>
        <w:tab/>
      </w:r>
    </w:p>
    <w:p w:rsidR="00AA4266" w:rsidRPr="00BC10F2" w:rsidRDefault="00AA4266" w:rsidP="00AA4266">
      <w:p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AA4266" w:rsidRDefault="00AA4266" w:rsidP="00AA4266">
      <w:p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  <w:u w:val="single"/>
        </w:rPr>
      </w:pPr>
      <w:r w:rsidRPr="00BC10F2">
        <w:rPr>
          <w:rFonts w:asciiTheme="majorHAnsi" w:hAnsiTheme="majorHAnsi"/>
          <w:b/>
          <w:bCs/>
          <w:sz w:val="24"/>
          <w:szCs w:val="24"/>
          <w:u w:val="single"/>
        </w:rPr>
        <w:t>Objectif</w:t>
      </w:r>
      <w:r w:rsidR="00F25FA6">
        <w:rPr>
          <w:rFonts w:asciiTheme="majorHAnsi" w:hAnsiTheme="majorHAnsi"/>
          <w:b/>
          <w:bCs/>
          <w:sz w:val="24"/>
          <w:szCs w:val="24"/>
          <w:u w:val="single"/>
        </w:rPr>
        <w:t>s</w:t>
      </w:r>
      <w:r w:rsidRPr="00BC10F2">
        <w:rPr>
          <w:rFonts w:asciiTheme="majorHAnsi" w:hAnsiTheme="majorHAnsi"/>
          <w:b/>
          <w:bCs/>
          <w:sz w:val="24"/>
          <w:szCs w:val="24"/>
          <w:u w:val="single"/>
        </w:rPr>
        <w:t> :</w:t>
      </w:r>
    </w:p>
    <w:p w:rsidR="00754DA6" w:rsidRPr="00B92C1B" w:rsidRDefault="00754DA6" w:rsidP="00754DA6">
      <w:pPr>
        <w:pStyle w:val="Paragraphedeliste"/>
        <w:numPr>
          <w:ilvl w:val="0"/>
          <w:numId w:val="17"/>
        </w:numPr>
        <w:spacing w:after="0" w:line="240" w:lineRule="auto"/>
        <w:rPr>
          <w:rFonts w:ascii="Constantia" w:eastAsia="Times New Roman" w:hAnsi="Constantia" w:cs="Arial"/>
          <w:sz w:val="28"/>
          <w:szCs w:val="28"/>
        </w:rPr>
      </w:pPr>
      <w:r w:rsidRPr="00B92C1B">
        <w:rPr>
          <w:rFonts w:ascii="Constantia" w:eastAsia="Times New Roman" w:hAnsi="Constantia" w:cs="Arial"/>
          <w:sz w:val="28"/>
          <w:szCs w:val="28"/>
        </w:rPr>
        <w:t xml:space="preserve">Gérer efficacement les créances courantes et impayées.                                                                                               </w:t>
      </w:r>
    </w:p>
    <w:p w:rsidR="00754DA6" w:rsidRPr="00B92C1B" w:rsidRDefault="00754DA6" w:rsidP="00754DA6">
      <w:pPr>
        <w:pStyle w:val="Paragraphedeliste"/>
        <w:numPr>
          <w:ilvl w:val="0"/>
          <w:numId w:val="17"/>
        </w:numPr>
        <w:spacing w:after="0" w:line="240" w:lineRule="auto"/>
        <w:rPr>
          <w:rFonts w:ascii="Constantia" w:eastAsia="Times New Roman" w:hAnsi="Constantia" w:cs="Arial"/>
          <w:sz w:val="28"/>
          <w:szCs w:val="28"/>
        </w:rPr>
      </w:pPr>
      <w:r w:rsidRPr="00B92C1B">
        <w:rPr>
          <w:rFonts w:ascii="Constantia" w:eastAsia="Times New Roman" w:hAnsi="Constantia" w:cs="Arial"/>
          <w:sz w:val="28"/>
          <w:szCs w:val="28"/>
        </w:rPr>
        <w:t>Procéder au recouvrement des créances impayées selon les procédures règlementaires.</w:t>
      </w:r>
    </w:p>
    <w:p w:rsidR="00754DA6" w:rsidRPr="00B92C1B" w:rsidRDefault="00754DA6" w:rsidP="00754DA6">
      <w:pPr>
        <w:pStyle w:val="Paragraphedeliste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Constantia" w:eastAsia="Times New Roman" w:hAnsi="Constantia" w:cs="Arial"/>
          <w:sz w:val="28"/>
          <w:szCs w:val="28"/>
        </w:rPr>
      </w:pPr>
      <w:r w:rsidRPr="00B92C1B">
        <w:rPr>
          <w:rFonts w:ascii="Constantia" w:eastAsia="Times New Roman" w:hAnsi="Constantia" w:cs="Arial"/>
          <w:sz w:val="28"/>
          <w:szCs w:val="28"/>
        </w:rPr>
        <w:t>Recouvrer les créances impayées</w:t>
      </w:r>
    </w:p>
    <w:p w:rsidR="00754DA6" w:rsidRPr="00B92C1B" w:rsidRDefault="00754DA6" w:rsidP="00754DA6">
      <w:pPr>
        <w:tabs>
          <w:tab w:val="left" w:pos="-284"/>
        </w:tabs>
        <w:ind w:left="360"/>
        <w:jc w:val="both"/>
        <w:rPr>
          <w:rFonts w:ascii="Constantia" w:hAnsi="Constantia"/>
          <w:b/>
          <w:sz w:val="16"/>
          <w:szCs w:val="16"/>
        </w:rPr>
      </w:pPr>
    </w:p>
    <w:p w:rsidR="00754DA6" w:rsidRPr="00B92C1B" w:rsidRDefault="00754DA6" w:rsidP="00754DA6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Constantia" w:hAnsi="Constantia"/>
          <w:sz w:val="28"/>
        </w:rPr>
      </w:pPr>
      <w:r w:rsidRPr="00B92C1B">
        <w:rPr>
          <w:rFonts w:ascii="Constantia" w:hAnsi="Constantia"/>
          <w:sz w:val="28"/>
        </w:rPr>
        <w:t>Mettre en place les outils nécessaires pour atteindre l’efficacité dans le recouvrement des créances.</w:t>
      </w:r>
    </w:p>
    <w:p w:rsidR="00754DA6" w:rsidRPr="00B92C1B" w:rsidRDefault="00754DA6" w:rsidP="00754DA6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Constantia" w:hAnsi="Constantia"/>
          <w:sz w:val="28"/>
        </w:rPr>
      </w:pPr>
      <w:r w:rsidRPr="00B92C1B">
        <w:rPr>
          <w:rFonts w:ascii="Constantia" w:hAnsi="Constantia"/>
          <w:sz w:val="28"/>
        </w:rPr>
        <w:t>Eviter à l’entreprise des frais de poursuite judiciaire en privilégiant la procédure amiable.</w:t>
      </w:r>
    </w:p>
    <w:p w:rsidR="00754DA6" w:rsidRPr="00B92C1B" w:rsidRDefault="00754DA6" w:rsidP="00754DA6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Constantia" w:hAnsi="Constantia"/>
          <w:sz w:val="28"/>
        </w:rPr>
      </w:pPr>
      <w:r w:rsidRPr="00B92C1B">
        <w:rPr>
          <w:rFonts w:ascii="Constantia" w:hAnsi="Constantia"/>
          <w:sz w:val="28"/>
        </w:rPr>
        <w:t>Garantir l’efficacité des gestionnaires dans la gestion du portefeuille.</w:t>
      </w:r>
    </w:p>
    <w:p w:rsidR="00754DA6" w:rsidRPr="00B92C1B" w:rsidRDefault="00754DA6" w:rsidP="00754DA6">
      <w:pPr>
        <w:spacing w:line="360" w:lineRule="auto"/>
        <w:rPr>
          <w:rFonts w:ascii="Constantia" w:hAnsi="Constantia"/>
          <w:sz w:val="28"/>
          <w:szCs w:val="28"/>
        </w:rPr>
      </w:pPr>
    </w:p>
    <w:p w:rsidR="00754DA6" w:rsidRPr="00BC10F2" w:rsidRDefault="00754DA6" w:rsidP="00AA4266">
      <w:p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  <w:u w:val="single"/>
        </w:rPr>
      </w:pPr>
    </w:p>
    <w:p w:rsidR="00AA4266" w:rsidRPr="00BC10F2" w:rsidRDefault="00AA4266" w:rsidP="00AA4266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F25FA6" w:rsidRPr="00754DA6" w:rsidRDefault="00AA4266" w:rsidP="00754DA6">
      <w:p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  <w:u w:val="single"/>
        </w:rPr>
      </w:pPr>
      <w:r w:rsidRPr="00BC10F2">
        <w:rPr>
          <w:rFonts w:asciiTheme="majorHAnsi" w:hAnsiTheme="majorHAnsi"/>
          <w:b/>
          <w:bCs/>
          <w:sz w:val="24"/>
          <w:szCs w:val="24"/>
          <w:u w:val="single"/>
        </w:rPr>
        <w:t>Population :</w:t>
      </w:r>
    </w:p>
    <w:p w:rsidR="00AA4266" w:rsidRPr="00BC10F2" w:rsidRDefault="00AA4266" w:rsidP="00AA4266">
      <w:p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  <w:u w:val="single"/>
        </w:rPr>
      </w:pPr>
    </w:p>
    <w:p w:rsidR="00B92C1B" w:rsidRPr="00B92C1B" w:rsidRDefault="00B92C1B" w:rsidP="00B92C1B">
      <w:pPr>
        <w:pStyle w:val="Paragraphedeliste"/>
        <w:widowControl w:val="0"/>
        <w:numPr>
          <w:ilvl w:val="0"/>
          <w:numId w:val="17"/>
        </w:numPr>
        <w:tabs>
          <w:tab w:val="left" w:pos="1211"/>
        </w:tabs>
        <w:autoSpaceDE w:val="0"/>
        <w:autoSpaceDN w:val="0"/>
        <w:adjustRightInd w:val="0"/>
        <w:jc w:val="both"/>
        <w:rPr>
          <w:rFonts w:ascii="Constantia" w:hAnsi="Constantia"/>
          <w:sz w:val="26"/>
          <w:szCs w:val="26"/>
        </w:rPr>
      </w:pPr>
      <w:r w:rsidRPr="00B92C1B">
        <w:rPr>
          <w:rFonts w:ascii="Constantia" w:hAnsi="Constantia"/>
          <w:sz w:val="26"/>
          <w:szCs w:val="26"/>
        </w:rPr>
        <w:t xml:space="preserve">chargés </w:t>
      </w:r>
      <w:r w:rsidRPr="00B92C1B">
        <w:rPr>
          <w:rFonts w:ascii="Constantia" w:hAnsi="Constantia" w:cs="Arial"/>
          <w:sz w:val="26"/>
          <w:szCs w:val="26"/>
        </w:rPr>
        <w:t xml:space="preserve"> de recouvrement ;  </w:t>
      </w:r>
      <w:r w:rsidRPr="00B92C1B">
        <w:rPr>
          <w:rFonts w:ascii="Constantia" w:eastAsia="Times New Roman" w:hAnsi="Constantia" w:cs="Arial"/>
          <w:sz w:val="26"/>
          <w:szCs w:val="26"/>
        </w:rPr>
        <w:t>Agents de recouvrement </w:t>
      </w:r>
      <w:r w:rsidRPr="00B92C1B">
        <w:rPr>
          <w:rFonts w:ascii="Constantia" w:hAnsi="Constantia"/>
          <w:sz w:val="26"/>
          <w:szCs w:val="26"/>
        </w:rPr>
        <w:t xml:space="preserve">; </w:t>
      </w:r>
      <w:r w:rsidRPr="00B92C1B">
        <w:rPr>
          <w:rFonts w:ascii="Constantia" w:hAnsi="Constantia"/>
          <w:sz w:val="28"/>
          <w:szCs w:val="28"/>
        </w:rPr>
        <w:t>Commerciaux  et financiers en charge de la gestion du portefeuille des créances impayées et juristes chargés du recouvrement par voie judiciaire</w:t>
      </w:r>
    </w:p>
    <w:p w:rsidR="00B92C1B" w:rsidRPr="00B92C1B" w:rsidRDefault="00B92C1B" w:rsidP="00B92C1B">
      <w:pPr>
        <w:pStyle w:val="Paragraphedeliste"/>
        <w:widowControl w:val="0"/>
        <w:tabs>
          <w:tab w:val="left" w:pos="1211"/>
        </w:tabs>
        <w:autoSpaceDE w:val="0"/>
        <w:autoSpaceDN w:val="0"/>
        <w:adjustRightInd w:val="0"/>
        <w:jc w:val="both"/>
        <w:rPr>
          <w:rFonts w:ascii="Constantia" w:hAnsi="Constantia"/>
          <w:color w:val="7030A0"/>
          <w:sz w:val="26"/>
          <w:szCs w:val="26"/>
        </w:rPr>
      </w:pPr>
    </w:p>
    <w:p w:rsidR="00AA4266" w:rsidRDefault="00AA4266" w:rsidP="00AA4266">
      <w:p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  <w:u w:val="single"/>
        </w:rPr>
      </w:pPr>
      <w:r>
        <w:rPr>
          <w:rFonts w:asciiTheme="majorHAnsi" w:hAnsiTheme="majorHAnsi"/>
          <w:b/>
          <w:bCs/>
          <w:sz w:val="24"/>
          <w:szCs w:val="24"/>
          <w:u w:val="single"/>
        </w:rPr>
        <w:t>Déroulement de la Formation :</w:t>
      </w:r>
    </w:p>
    <w:p w:rsidR="00B92C1B" w:rsidRDefault="00B92C1B" w:rsidP="00B92C1B">
      <w:pPr>
        <w:pStyle w:val="Paragraphedeliste"/>
        <w:spacing w:after="0" w:line="240" w:lineRule="auto"/>
        <w:jc w:val="both"/>
        <w:rPr>
          <w:rFonts w:ascii="Cambria" w:eastAsia="Times New Roman" w:hAnsi="Cambria" w:cs="Times New Roman"/>
          <w:bCs/>
          <w:sz w:val="24"/>
          <w:szCs w:val="24"/>
        </w:rPr>
      </w:pPr>
    </w:p>
    <w:p w:rsidR="00B92C1B" w:rsidRPr="00C222A1" w:rsidRDefault="00B92C1B" w:rsidP="00B92C1B">
      <w:pPr>
        <w:numPr>
          <w:ilvl w:val="0"/>
          <w:numId w:val="17"/>
        </w:numPr>
        <w:spacing w:after="0" w:line="240" w:lineRule="auto"/>
        <w:jc w:val="both"/>
        <w:rPr>
          <w:rFonts w:ascii="Constantia" w:hAnsi="Constantia"/>
          <w:i/>
          <w:iCs/>
          <w:sz w:val="26"/>
          <w:szCs w:val="26"/>
        </w:rPr>
      </w:pPr>
      <w:r w:rsidRPr="00C222A1">
        <w:rPr>
          <w:rFonts w:ascii="Constantia" w:hAnsi="Constantia"/>
          <w:i/>
          <w:iCs/>
          <w:sz w:val="28"/>
          <w:szCs w:val="28"/>
        </w:rPr>
        <w:t>Selon les principes et les caractéristiques de l’andragogie (pédagogie adaptée à l’adulte en formation)</w:t>
      </w:r>
    </w:p>
    <w:p w:rsidR="00B92C1B" w:rsidRPr="00C222A1" w:rsidRDefault="00B92C1B" w:rsidP="00B92C1B">
      <w:pPr>
        <w:pStyle w:val="Paragraphedeliste"/>
        <w:numPr>
          <w:ilvl w:val="0"/>
          <w:numId w:val="17"/>
        </w:numPr>
        <w:spacing w:after="0" w:line="240" w:lineRule="auto"/>
        <w:jc w:val="both"/>
        <w:rPr>
          <w:rFonts w:ascii="Constantia" w:hAnsi="Constantia"/>
          <w:i/>
          <w:iCs/>
          <w:sz w:val="26"/>
          <w:szCs w:val="26"/>
        </w:rPr>
      </w:pPr>
      <w:r w:rsidRPr="00C222A1">
        <w:rPr>
          <w:rFonts w:ascii="Constantia" w:hAnsi="Constantia"/>
          <w:i/>
          <w:iCs/>
          <w:sz w:val="26"/>
          <w:szCs w:val="26"/>
        </w:rPr>
        <w:t xml:space="preserve">Apport théorique en salle de cours ; </w:t>
      </w:r>
    </w:p>
    <w:p w:rsidR="00B92C1B" w:rsidRPr="00C222A1" w:rsidRDefault="00B92C1B" w:rsidP="00B92C1B">
      <w:pPr>
        <w:pStyle w:val="Paragraphedeliste"/>
        <w:numPr>
          <w:ilvl w:val="0"/>
          <w:numId w:val="17"/>
        </w:numPr>
        <w:spacing w:after="0" w:line="240" w:lineRule="auto"/>
        <w:jc w:val="both"/>
        <w:rPr>
          <w:rFonts w:ascii="Constantia" w:hAnsi="Constantia"/>
          <w:i/>
          <w:iCs/>
          <w:sz w:val="26"/>
          <w:szCs w:val="26"/>
        </w:rPr>
      </w:pPr>
      <w:r w:rsidRPr="00C222A1">
        <w:rPr>
          <w:rFonts w:ascii="Constantia" w:hAnsi="Constantia"/>
          <w:i/>
          <w:iCs/>
          <w:sz w:val="26"/>
          <w:szCs w:val="26"/>
        </w:rPr>
        <w:t>Support de cours ;</w:t>
      </w:r>
    </w:p>
    <w:p w:rsidR="00B92C1B" w:rsidRPr="00C222A1" w:rsidRDefault="00B92C1B" w:rsidP="00B92C1B">
      <w:pPr>
        <w:pStyle w:val="Paragraphedeliste"/>
        <w:numPr>
          <w:ilvl w:val="0"/>
          <w:numId w:val="17"/>
        </w:numPr>
        <w:spacing w:after="0" w:line="240" w:lineRule="auto"/>
        <w:jc w:val="both"/>
        <w:rPr>
          <w:rFonts w:ascii="Constantia" w:hAnsi="Constantia"/>
          <w:i/>
          <w:iCs/>
          <w:sz w:val="26"/>
          <w:szCs w:val="26"/>
        </w:rPr>
      </w:pPr>
      <w:r w:rsidRPr="00C222A1">
        <w:rPr>
          <w:rFonts w:ascii="Constantia" w:hAnsi="Constantia"/>
          <w:i/>
          <w:iCs/>
          <w:sz w:val="26"/>
          <w:szCs w:val="26"/>
        </w:rPr>
        <w:t>Démonstration pratique adapté.</w:t>
      </w:r>
    </w:p>
    <w:p w:rsidR="00B92C1B" w:rsidRPr="00C222A1" w:rsidRDefault="00B92C1B" w:rsidP="00B92C1B">
      <w:pPr>
        <w:rPr>
          <w:rFonts w:ascii="Constantia" w:hAnsi="Constantia"/>
        </w:rPr>
      </w:pPr>
    </w:p>
    <w:p w:rsidR="00B92C1B" w:rsidRPr="00C222A1" w:rsidRDefault="00B92C1B" w:rsidP="00B92C1B">
      <w:pPr>
        <w:tabs>
          <w:tab w:val="left" w:pos="1503"/>
        </w:tabs>
        <w:rPr>
          <w:rFonts w:ascii="Constantia" w:hAnsi="Constantia"/>
          <w:lang w:eastAsia="en-US"/>
        </w:rPr>
      </w:pPr>
    </w:p>
    <w:p w:rsidR="007528F4" w:rsidRPr="00B92C1B" w:rsidRDefault="007528F4" w:rsidP="00B92C1B">
      <w:pPr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</w:p>
    <w:p w:rsidR="007528F4" w:rsidRDefault="007528F4" w:rsidP="00AA4266">
      <w:pPr>
        <w:pStyle w:val="Paragraphedeliste"/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</w:p>
    <w:p w:rsidR="007528F4" w:rsidRDefault="007528F4" w:rsidP="00AA4266">
      <w:pPr>
        <w:pStyle w:val="Paragraphedeliste"/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</w:p>
    <w:p w:rsidR="007528F4" w:rsidRPr="00B92C1B" w:rsidRDefault="007528F4" w:rsidP="007528F4">
      <w:p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  <w:u w:val="single"/>
        </w:rPr>
      </w:pPr>
      <w:r w:rsidRPr="00B92C1B">
        <w:rPr>
          <w:rFonts w:asciiTheme="majorHAnsi" w:hAnsiTheme="majorHAnsi"/>
          <w:b/>
          <w:bCs/>
          <w:sz w:val="24"/>
          <w:szCs w:val="24"/>
          <w:u w:val="single"/>
        </w:rPr>
        <w:t>Animateur</w:t>
      </w:r>
      <w:r w:rsidR="00B92C1B">
        <w:rPr>
          <w:rFonts w:asciiTheme="majorHAnsi" w:hAnsiTheme="majorHAnsi"/>
          <w:b/>
          <w:bCs/>
          <w:sz w:val="24"/>
          <w:szCs w:val="24"/>
          <w:u w:val="single"/>
        </w:rPr>
        <w:t>:</w:t>
      </w:r>
    </w:p>
    <w:p w:rsidR="00B92C1B" w:rsidRDefault="00B92C1B" w:rsidP="00B92C1B">
      <w:pPr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</w:p>
    <w:p w:rsidR="00B92C1B" w:rsidRDefault="00B92C1B" w:rsidP="00B92C1B">
      <w:p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Salem HAMOUD </w:t>
      </w:r>
    </w:p>
    <w:p w:rsidR="007528F4" w:rsidRDefault="00B92C1B" w:rsidP="007528F4">
      <w:pPr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Consultant Formateur</w:t>
      </w:r>
    </w:p>
    <w:p w:rsidR="00B92C1B" w:rsidRDefault="00B92C1B" w:rsidP="007528F4">
      <w:pPr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</w:p>
    <w:p w:rsidR="00B92C1B" w:rsidRDefault="00B92C1B" w:rsidP="00AA4266">
      <w:p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  <w:u w:val="single"/>
        </w:rPr>
      </w:pPr>
      <w:r>
        <w:rPr>
          <w:rFonts w:asciiTheme="majorHAnsi" w:hAnsiTheme="majorHAnsi"/>
          <w:b/>
          <w:bCs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546735</wp:posOffset>
            </wp:positionH>
            <wp:positionV relativeFrom="paragraph">
              <wp:posOffset>635</wp:posOffset>
            </wp:positionV>
            <wp:extent cx="1533525" cy="447675"/>
            <wp:effectExtent l="0" t="0" r="0" b="0"/>
            <wp:wrapNone/>
            <wp:docPr id="1" name="Image 2" descr="GFA LOGO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GFA LOGO FINA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2C1B" w:rsidRPr="00B92C1B" w:rsidRDefault="00B92C1B" w:rsidP="00B92C1B">
      <w:pPr>
        <w:rPr>
          <w:rFonts w:asciiTheme="majorHAnsi" w:hAnsiTheme="majorHAnsi"/>
          <w:sz w:val="24"/>
          <w:szCs w:val="24"/>
        </w:rPr>
      </w:pPr>
    </w:p>
    <w:p w:rsidR="00B92C1B" w:rsidRDefault="00B92C1B" w:rsidP="00B92C1B">
      <w:pPr>
        <w:rPr>
          <w:rFonts w:asciiTheme="majorHAnsi" w:hAnsiTheme="majorHAnsi"/>
          <w:sz w:val="24"/>
          <w:szCs w:val="24"/>
        </w:rPr>
      </w:pPr>
    </w:p>
    <w:p w:rsidR="00B92C1B" w:rsidRDefault="00B92C1B" w:rsidP="00B92C1B">
      <w:p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E62D87">
        <w:rPr>
          <w:rFonts w:asciiTheme="majorHAnsi" w:hAnsiTheme="majorHAnsi"/>
          <w:b/>
          <w:bCs/>
          <w:sz w:val="24"/>
          <w:szCs w:val="24"/>
          <w:u w:val="single"/>
        </w:rPr>
        <w:t>Coût de la Formation</w:t>
      </w:r>
      <w:r w:rsidRPr="00E62D87">
        <w:rPr>
          <w:rFonts w:asciiTheme="majorHAnsi" w:hAnsiTheme="majorHAnsi"/>
          <w:b/>
          <w:bCs/>
          <w:sz w:val="24"/>
          <w:szCs w:val="24"/>
        </w:rPr>
        <w:t xml:space="preserve"> : </w:t>
      </w:r>
    </w:p>
    <w:p w:rsidR="00B92C1B" w:rsidRPr="00E62D87" w:rsidRDefault="00B92C1B" w:rsidP="00B92C1B">
      <w:p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B92C1B" w:rsidRPr="00BA1E6B" w:rsidRDefault="00B92C1B" w:rsidP="00B92C1B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  <w:u w:val="single"/>
        </w:rPr>
      </w:pPr>
      <w:r w:rsidRPr="00B63C8E">
        <w:rPr>
          <w:rFonts w:ascii="Cambria" w:eastAsia="Times New Roman" w:hAnsi="Cambria" w:cs="Times New Roman"/>
          <w:b/>
          <w:bCs/>
          <w:sz w:val="24"/>
          <w:szCs w:val="24"/>
        </w:rPr>
        <w:t xml:space="preserve">Frais DZD </w:t>
      </w:r>
      <w:r>
        <w:rPr>
          <w:rFonts w:ascii="Cambria" w:eastAsia="Times New Roman" w:hAnsi="Cambria" w:cs="Times New Roman"/>
          <w:b/>
          <w:bCs/>
          <w:sz w:val="24"/>
          <w:szCs w:val="24"/>
        </w:rPr>
        <w:t xml:space="preserve">22.000,00 DZD HT /Jour/session </w:t>
      </w:r>
    </w:p>
    <w:p w:rsidR="00B92C1B" w:rsidRPr="00B63C8E" w:rsidRDefault="00B92C1B" w:rsidP="00B92C1B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  <w:u w:val="single"/>
        </w:rPr>
      </w:pPr>
    </w:p>
    <w:p w:rsidR="00B92C1B" w:rsidRPr="00B63C8E" w:rsidRDefault="00B92C1B" w:rsidP="00B92C1B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  <w:u w:val="single"/>
        </w:rPr>
      </w:pPr>
      <w:r w:rsidRPr="00B63C8E">
        <w:rPr>
          <w:rFonts w:asciiTheme="majorHAnsi" w:hAnsiTheme="majorHAnsi"/>
          <w:b/>
          <w:bCs/>
          <w:sz w:val="24"/>
          <w:szCs w:val="24"/>
          <w:u w:val="single"/>
        </w:rPr>
        <w:t>Annulation</w:t>
      </w:r>
      <w:r w:rsidRPr="00B63C8E">
        <w:rPr>
          <w:rFonts w:asciiTheme="majorHAnsi" w:hAnsiTheme="majorHAnsi"/>
          <w:b/>
          <w:bCs/>
          <w:sz w:val="24"/>
          <w:szCs w:val="24"/>
        </w:rPr>
        <w:t> :</w:t>
      </w:r>
    </w:p>
    <w:p w:rsidR="00B92C1B" w:rsidRPr="00E62D87" w:rsidRDefault="00B92C1B" w:rsidP="00B92C1B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E62D87">
        <w:rPr>
          <w:rFonts w:ascii="Cambria" w:eastAsia="Times New Roman" w:hAnsi="Cambria" w:cs="Times New Roman"/>
          <w:sz w:val="24"/>
          <w:szCs w:val="24"/>
        </w:rPr>
        <w:t xml:space="preserve">Toute demande d’annulation doit être faite par écrit (e-mail ou fax) </w:t>
      </w:r>
      <w:r>
        <w:rPr>
          <w:rFonts w:ascii="Cambria" w:eastAsia="Times New Roman" w:hAnsi="Cambria" w:cs="Times New Roman"/>
          <w:sz w:val="24"/>
          <w:szCs w:val="24"/>
        </w:rPr>
        <w:t>07</w:t>
      </w:r>
      <w:r w:rsidRPr="00E62D87">
        <w:rPr>
          <w:rFonts w:ascii="Cambria" w:eastAsia="Times New Roman" w:hAnsi="Cambria" w:cs="Times New Roman"/>
          <w:sz w:val="24"/>
          <w:szCs w:val="24"/>
        </w:rPr>
        <w:t xml:space="preserve"> jours ouvrables avant la date de début des cours.</w:t>
      </w:r>
    </w:p>
    <w:p w:rsidR="00AA4266" w:rsidRDefault="00AA4266" w:rsidP="00B92C1B">
      <w:pPr>
        <w:rPr>
          <w:rFonts w:asciiTheme="majorHAnsi" w:hAnsiTheme="majorHAnsi"/>
          <w:sz w:val="24"/>
          <w:szCs w:val="24"/>
        </w:rPr>
      </w:pPr>
    </w:p>
    <w:p w:rsidR="00B92C1B" w:rsidRDefault="00B92C1B" w:rsidP="00B92C1B">
      <w:pPr>
        <w:rPr>
          <w:rFonts w:asciiTheme="majorHAnsi" w:hAnsiTheme="majorHAnsi"/>
          <w:sz w:val="24"/>
          <w:szCs w:val="24"/>
        </w:rPr>
      </w:pPr>
    </w:p>
    <w:p w:rsidR="00B92C1B" w:rsidRDefault="00B92C1B" w:rsidP="00B92C1B">
      <w:pPr>
        <w:rPr>
          <w:rFonts w:asciiTheme="majorHAnsi" w:hAnsiTheme="majorHAnsi"/>
          <w:sz w:val="24"/>
          <w:szCs w:val="24"/>
        </w:rPr>
      </w:pPr>
    </w:p>
    <w:p w:rsidR="00B92C1B" w:rsidRDefault="00B92C1B" w:rsidP="00B92C1B">
      <w:pPr>
        <w:rPr>
          <w:rFonts w:asciiTheme="majorHAnsi" w:hAnsiTheme="majorHAnsi"/>
          <w:sz w:val="24"/>
          <w:szCs w:val="24"/>
        </w:rPr>
      </w:pPr>
    </w:p>
    <w:p w:rsidR="00B92C1B" w:rsidRDefault="00B92C1B" w:rsidP="00B92C1B">
      <w:pPr>
        <w:rPr>
          <w:rFonts w:asciiTheme="majorHAnsi" w:hAnsiTheme="majorHAnsi"/>
          <w:sz w:val="24"/>
          <w:szCs w:val="24"/>
        </w:rPr>
      </w:pPr>
    </w:p>
    <w:p w:rsidR="00B92C1B" w:rsidRDefault="00B92C1B" w:rsidP="00B92C1B">
      <w:pPr>
        <w:rPr>
          <w:rFonts w:asciiTheme="majorHAnsi" w:hAnsiTheme="majorHAnsi"/>
          <w:sz w:val="24"/>
          <w:szCs w:val="24"/>
        </w:rPr>
      </w:pPr>
    </w:p>
    <w:p w:rsidR="00B92C1B" w:rsidRDefault="00B92C1B" w:rsidP="00B92C1B">
      <w:pPr>
        <w:rPr>
          <w:rFonts w:asciiTheme="majorHAnsi" w:hAnsiTheme="majorHAnsi"/>
          <w:sz w:val="24"/>
          <w:szCs w:val="24"/>
        </w:rPr>
      </w:pPr>
    </w:p>
    <w:p w:rsidR="00B92C1B" w:rsidRDefault="00B92C1B" w:rsidP="00B92C1B">
      <w:pPr>
        <w:rPr>
          <w:rFonts w:asciiTheme="majorHAnsi" w:hAnsiTheme="majorHAnsi"/>
          <w:sz w:val="24"/>
          <w:szCs w:val="24"/>
        </w:rPr>
      </w:pPr>
    </w:p>
    <w:p w:rsidR="00B92C1B" w:rsidRDefault="00B92C1B" w:rsidP="00B92C1B">
      <w:pPr>
        <w:rPr>
          <w:rFonts w:asciiTheme="majorHAnsi" w:hAnsiTheme="majorHAnsi"/>
          <w:sz w:val="24"/>
          <w:szCs w:val="24"/>
        </w:rPr>
      </w:pPr>
    </w:p>
    <w:p w:rsidR="00B92C1B" w:rsidRDefault="00B92C1B" w:rsidP="00B92C1B">
      <w:pPr>
        <w:rPr>
          <w:rFonts w:asciiTheme="majorHAnsi" w:hAnsiTheme="majorHAnsi"/>
          <w:sz w:val="24"/>
          <w:szCs w:val="24"/>
        </w:rPr>
      </w:pPr>
    </w:p>
    <w:p w:rsidR="00B92C1B" w:rsidRDefault="00B92C1B" w:rsidP="00B92C1B">
      <w:pPr>
        <w:rPr>
          <w:rFonts w:asciiTheme="majorHAnsi" w:hAnsiTheme="majorHAnsi"/>
          <w:sz w:val="24"/>
          <w:szCs w:val="24"/>
        </w:rPr>
      </w:pPr>
    </w:p>
    <w:p w:rsidR="00B92C1B" w:rsidRDefault="00B92C1B" w:rsidP="00B92C1B">
      <w:pPr>
        <w:rPr>
          <w:rFonts w:asciiTheme="majorHAnsi" w:hAnsiTheme="majorHAnsi"/>
          <w:sz w:val="24"/>
          <w:szCs w:val="24"/>
        </w:rPr>
      </w:pPr>
    </w:p>
    <w:p w:rsidR="00B92C1B" w:rsidRDefault="00B92C1B" w:rsidP="00B92C1B">
      <w:pPr>
        <w:rPr>
          <w:rFonts w:asciiTheme="majorHAnsi" w:hAnsiTheme="majorHAnsi"/>
          <w:sz w:val="24"/>
          <w:szCs w:val="24"/>
        </w:rPr>
      </w:pPr>
    </w:p>
    <w:p w:rsidR="00B92C1B" w:rsidRDefault="00B92C1B" w:rsidP="00B92C1B">
      <w:pPr>
        <w:rPr>
          <w:rFonts w:asciiTheme="majorHAnsi" w:hAnsiTheme="majorHAnsi"/>
          <w:sz w:val="24"/>
          <w:szCs w:val="24"/>
        </w:rPr>
      </w:pPr>
    </w:p>
    <w:p w:rsidR="00B92C1B" w:rsidRDefault="00B92C1B" w:rsidP="00B92C1B">
      <w:pPr>
        <w:rPr>
          <w:rFonts w:asciiTheme="majorHAnsi" w:hAnsiTheme="majorHAnsi"/>
          <w:sz w:val="24"/>
          <w:szCs w:val="24"/>
        </w:rPr>
      </w:pPr>
    </w:p>
    <w:p w:rsidR="00B92C1B" w:rsidRDefault="00B92C1B" w:rsidP="00B92C1B">
      <w:pPr>
        <w:rPr>
          <w:rFonts w:asciiTheme="majorHAnsi" w:hAnsiTheme="majorHAnsi"/>
          <w:sz w:val="24"/>
          <w:szCs w:val="24"/>
        </w:rPr>
      </w:pPr>
    </w:p>
    <w:p w:rsidR="00B92C1B" w:rsidRDefault="00B92C1B" w:rsidP="00B92C1B">
      <w:pPr>
        <w:rPr>
          <w:rFonts w:asciiTheme="majorHAnsi" w:hAnsiTheme="majorHAnsi"/>
          <w:sz w:val="24"/>
          <w:szCs w:val="24"/>
        </w:rPr>
      </w:pPr>
    </w:p>
    <w:p w:rsidR="00B92C1B" w:rsidRDefault="00B92C1B" w:rsidP="00B92C1B">
      <w:pPr>
        <w:rPr>
          <w:rFonts w:asciiTheme="majorHAnsi" w:hAnsiTheme="majorHAnsi"/>
          <w:sz w:val="24"/>
          <w:szCs w:val="24"/>
        </w:rPr>
      </w:pPr>
    </w:p>
    <w:p w:rsidR="00B92C1B" w:rsidRDefault="00B92C1B" w:rsidP="00B92C1B">
      <w:pPr>
        <w:rPr>
          <w:rFonts w:asciiTheme="majorHAnsi" w:hAnsiTheme="majorHAnsi"/>
          <w:sz w:val="24"/>
          <w:szCs w:val="24"/>
        </w:rPr>
      </w:pPr>
    </w:p>
    <w:p w:rsidR="00B92C1B" w:rsidRDefault="00B92C1B" w:rsidP="00B92C1B">
      <w:pPr>
        <w:rPr>
          <w:rFonts w:asciiTheme="majorHAnsi" w:hAnsiTheme="majorHAnsi"/>
          <w:sz w:val="24"/>
          <w:szCs w:val="24"/>
        </w:rPr>
      </w:pPr>
    </w:p>
    <w:p w:rsidR="00B92C1B" w:rsidRDefault="00B92C1B" w:rsidP="00B92C1B">
      <w:pPr>
        <w:rPr>
          <w:rFonts w:asciiTheme="majorHAnsi" w:hAnsiTheme="majorHAnsi"/>
          <w:sz w:val="24"/>
          <w:szCs w:val="24"/>
        </w:rPr>
      </w:pPr>
    </w:p>
    <w:p w:rsidR="00B92C1B" w:rsidRDefault="00B92C1B" w:rsidP="00B92C1B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B92C1B" w:rsidRDefault="00B92C1B" w:rsidP="00B92C1B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  <w:r w:rsidRPr="00F00672">
        <w:rPr>
          <w:rFonts w:asciiTheme="majorHAnsi" w:hAnsiTheme="majorHAnsi"/>
          <w:b/>
          <w:bCs/>
          <w:sz w:val="28"/>
          <w:szCs w:val="28"/>
          <w:u w:val="single"/>
        </w:rPr>
        <w:t>Programme de la Formation</w:t>
      </w:r>
    </w:p>
    <w:p w:rsidR="00D60C24" w:rsidRPr="00F00672" w:rsidRDefault="00D60C24" w:rsidP="00B92C1B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  <w:bookmarkStart w:id="0" w:name="_GoBack"/>
      <w:bookmarkEnd w:id="0"/>
    </w:p>
    <w:p w:rsidR="00B92C1B" w:rsidRDefault="00B92C1B" w:rsidP="00B92C1B">
      <w:p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  <w:u w:val="single"/>
        </w:rPr>
      </w:pPr>
    </w:p>
    <w:p w:rsidR="00D60C24" w:rsidRPr="00C222A1" w:rsidRDefault="00D60C24" w:rsidP="00D60C24">
      <w:pPr>
        <w:pStyle w:val="Paragraphedeliste"/>
        <w:numPr>
          <w:ilvl w:val="0"/>
          <w:numId w:val="17"/>
        </w:numPr>
        <w:spacing w:line="360" w:lineRule="auto"/>
        <w:rPr>
          <w:rFonts w:ascii="Constantia" w:hAnsi="Constantia"/>
          <w:b/>
          <w:bCs/>
          <w:i/>
          <w:iCs/>
          <w:color w:val="000000"/>
          <w:sz w:val="28"/>
          <w:szCs w:val="28"/>
        </w:rPr>
      </w:pPr>
      <w:r w:rsidRPr="00C222A1">
        <w:rPr>
          <w:rFonts w:ascii="Constantia" w:hAnsi="Constantia"/>
          <w:b/>
          <w:bCs/>
          <w:i/>
          <w:iCs/>
          <w:color w:val="000000"/>
          <w:sz w:val="28"/>
          <w:szCs w:val="28"/>
        </w:rPr>
        <w:t>Les différentes phases de recouvrement :</w:t>
      </w:r>
    </w:p>
    <w:p w:rsidR="00D60C24" w:rsidRPr="00C222A1" w:rsidRDefault="00D60C24" w:rsidP="00D60C24">
      <w:pPr>
        <w:pStyle w:val="Paragraphedeliste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Constantia" w:eastAsia="Times New Roman" w:hAnsi="Constantia" w:cs="Arial"/>
          <w:i/>
          <w:iCs/>
          <w:sz w:val="26"/>
          <w:szCs w:val="26"/>
        </w:rPr>
      </w:pPr>
      <w:r w:rsidRPr="00C222A1">
        <w:rPr>
          <w:rFonts w:ascii="Constantia" w:eastAsia="Times New Roman" w:hAnsi="Constantia" w:cs="Arial"/>
          <w:i/>
          <w:iCs/>
          <w:sz w:val="26"/>
          <w:szCs w:val="26"/>
        </w:rPr>
        <w:t xml:space="preserve">Gestion pratique des créances  courantes et saines </w:t>
      </w:r>
    </w:p>
    <w:p w:rsidR="00D60C24" w:rsidRPr="00C222A1" w:rsidRDefault="00D60C24" w:rsidP="00D60C24">
      <w:pPr>
        <w:pStyle w:val="Paragraphedeliste"/>
        <w:numPr>
          <w:ilvl w:val="0"/>
          <w:numId w:val="17"/>
        </w:numPr>
        <w:spacing w:line="360" w:lineRule="auto"/>
        <w:rPr>
          <w:rFonts w:ascii="Constantia" w:hAnsi="Constantia"/>
          <w:i/>
          <w:iCs/>
          <w:color w:val="000000"/>
          <w:sz w:val="28"/>
          <w:szCs w:val="28"/>
        </w:rPr>
      </w:pPr>
      <w:r w:rsidRPr="00C222A1">
        <w:rPr>
          <w:rFonts w:ascii="Constantia" w:hAnsi="Constantia"/>
          <w:i/>
          <w:iCs/>
          <w:color w:val="000000"/>
          <w:sz w:val="28"/>
          <w:szCs w:val="28"/>
        </w:rPr>
        <w:t>Connaissance préalable de la typologie des clients débiteurs.</w:t>
      </w:r>
    </w:p>
    <w:p w:rsidR="00D60C24" w:rsidRPr="00C222A1" w:rsidRDefault="00D60C24" w:rsidP="00D60C24">
      <w:pPr>
        <w:pStyle w:val="Paragraphedeliste"/>
        <w:numPr>
          <w:ilvl w:val="0"/>
          <w:numId w:val="17"/>
        </w:numPr>
        <w:spacing w:line="360" w:lineRule="auto"/>
        <w:rPr>
          <w:rFonts w:ascii="Constantia" w:hAnsi="Constantia"/>
          <w:i/>
          <w:iCs/>
          <w:color w:val="000000"/>
          <w:sz w:val="28"/>
          <w:szCs w:val="28"/>
        </w:rPr>
      </w:pPr>
      <w:r w:rsidRPr="00C222A1">
        <w:rPr>
          <w:rFonts w:ascii="Constantia" w:hAnsi="Constantia"/>
          <w:i/>
          <w:iCs/>
          <w:color w:val="000000"/>
          <w:sz w:val="28"/>
          <w:szCs w:val="28"/>
        </w:rPr>
        <w:t>Objectifs de l’Entreprise en matière de recouvrement.</w:t>
      </w:r>
    </w:p>
    <w:p w:rsidR="00D60C24" w:rsidRPr="00C222A1" w:rsidRDefault="00D60C24" w:rsidP="00D60C24">
      <w:pPr>
        <w:pStyle w:val="Paragraphedeliste"/>
        <w:numPr>
          <w:ilvl w:val="0"/>
          <w:numId w:val="17"/>
        </w:numPr>
        <w:rPr>
          <w:rFonts w:ascii="Constantia" w:hAnsi="Constantia" w:cs="Arial"/>
          <w:bCs/>
          <w:i/>
          <w:iCs/>
        </w:rPr>
      </w:pPr>
      <w:r w:rsidRPr="00C222A1">
        <w:rPr>
          <w:rFonts w:ascii="Constantia" w:hAnsi="Constantia" w:cs="Arial"/>
          <w:i/>
          <w:iCs/>
          <w:sz w:val="26"/>
          <w:szCs w:val="26"/>
        </w:rPr>
        <w:t>Gestion pratique des créances impayées</w:t>
      </w:r>
    </w:p>
    <w:p w:rsidR="00D60C24" w:rsidRPr="00C222A1" w:rsidRDefault="00D60C24" w:rsidP="00D60C24">
      <w:pPr>
        <w:pStyle w:val="Paragraphedeliste"/>
        <w:numPr>
          <w:ilvl w:val="0"/>
          <w:numId w:val="17"/>
        </w:numPr>
        <w:spacing w:line="360" w:lineRule="auto"/>
        <w:rPr>
          <w:rFonts w:ascii="Constantia" w:hAnsi="Constantia"/>
          <w:i/>
          <w:iCs/>
          <w:color w:val="000000"/>
          <w:sz w:val="28"/>
          <w:szCs w:val="28"/>
        </w:rPr>
      </w:pPr>
      <w:r w:rsidRPr="00C222A1">
        <w:rPr>
          <w:rFonts w:ascii="Constantia" w:hAnsi="Constantia" w:cs="Arial"/>
          <w:i/>
          <w:iCs/>
          <w:sz w:val="26"/>
          <w:szCs w:val="26"/>
        </w:rPr>
        <w:t>Le recouvrement amiable des créances impayées</w:t>
      </w:r>
    </w:p>
    <w:p w:rsidR="00D60C24" w:rsidRPr="00C222A1" w:rsidRDefault="00D60C24" w:rsidP="00D60C24">
      <w:pPr>
        <w:pStyle w:val="Paragraphedeliste"/>
        <w:numPr>
          <w:ilvl w:val="0"/>
          <w:numId w:val="17"/>
        </w:numPr>
        <w:spacing w:line="360" w:lineRule="auto"/>
        <w:rPr>
          <w:rFonts w:ascii="Constantia" w:hAnsi="Constantia"/>
          <w:b/>
          <w:bCs/>
          <w:i/>
          <w:iCs/>
          <w:color w:val="000000"/>
          <w:sz w:val="28"/>
          <w:szCs w:val="28"/>
        </w:rPr>
      </w:pPr>
      <w:r w:rsidRPr="00C222A1">
        <w:rPr>
          <w:rFonts w:ascii="Constantia" w:hAnsi="Constantia"/>
          <w:b/>
          <w:bCs/>
          <w:i/>
          <w:iCs/>
          <w:color w:val="000000"/>
          <w:sz w:val="28"/>
          <w:szCs w:val="28"/>
        </w:rPr>
        <w:t>La relance préventive :</w:t>
      </w:r>
    </w:p>
    <w:p w:rsidR="00D60C24" w:rsidRPr="00C222A1" w:rsidRDefault="00D60C24" w:rsidP="00D60C24">
      <w:pPr>
        <w:pStyle w:val="Paragraphedeliste"/>
        <w:numPr>
          <w:ilvl w:val="0"/>
          <w:numId w:val="17"/>
        </w:numPr>
        <w:spacing w:line="360" w:lineRule="auto"/>
        <w:rPr>
          <w:rFonts w:ascii="Constantia" w:hAnsi="Constantia"/>
          <w:i/>
          <w:iCs/>
          <w:color w:val="000000"/>
          <w:sz w:val="28"/>
          <w:szCs w:val="28"/>
        </w:rPr>
      </w:pPr>
      <w:r w:rsidRPr="00C222A1">
        <w:rPr>
          <w:rFonts w:ascii="Constantia" w:hAnsi="Constantia"/>
          <w:i/>
          <w:iCs/>
          <w:color w:val="000000"/>
          <w:sz w:val="28"/>
          <w:szCs w:val="28"/>
        </w:rPr>
        <w:t>Rappeler au client les termes d’application du contrat.</w:t>
      </w:r>
    </w:p>
    <w:p w:rsidR="00D60C24" w:rsidRPr="00C222A1" w:rsidRDefault="00D60C24" w:rsidP="00D60C24">
      <w:pPr>
        <w:pStyle w:val="Paragraphedeliste"/>
        <w:numPr>
          <w:ilvl w:val="0"/>
          <w:numId w:val="17"/>
        </w:numPr>
        <w:spacing w:line="360" w:lineRule="auto"/>
        <w:rPr>
          <w:rFonts w:ascii="Constantia" w:hAnsi="Constantia"/>
          <w:i/>
          <w:iCs/>
          <w:color w:val="000000"/>
          <w:sz w:val="28"/>
          <w:szCs w:val="28"/>
        </w:rPr>
      </w:pPr>
      <w:r w:rsidRPr="00C222A1">
        <w:rPr>
          <w:rFonts w:ascii="Constantia" w:hAnsi="Constantia"/>
          <w:i/>
          <w:iCs/>
          <w:color w:val="000000"/>
          <w:sz w:val="28"/>
          <w:szCs w:val="28"/>
        </w:rPr>
        <w:t>Privilégier la communication pour éviter les litiges.</w:t>
      </w:r>
    </w:p>
    <w:p w:rsidR="00D60C24" w:rsidRPr="00C222A1" w:rsidRDefault="00D60C24" w:rsidP="00D60C24">
      <w:pPr>
        <w:pStyle w:val="Paragraphedeliste"/>
        <w:numPr>
          <w:ilvl w:val="0"/>
          <w:numId w:val="17"/>
        </w:numPr>
        <w:spacing w:line="360" w:lineRule="auto"/>
        <w:rPr>
          <w:rFonts w:ascii="Constantia" w:hAnsi="Constantia"/>
          <w:i/>
          <w:iCs/>
          <w:color w:val="000000"/>
          <w:sz w:val="28"/>
          <w:szCs w:val="28"/>
        </w:rPr>
      </w:pPr>
      <w:r w:rsidRPr="00C222A1">
        <w:rPr>
          <w:rFonts w:ascii="Constantia" w:hAnsi="Constantia"/>
          <w:i/>
          <w:iCs/>
          <w:color w:val="000000"/>
          <w:sz w:val="28"/>
          <w:szCs w:val="28"/>
        </w:rPr>
        <w:t>Phases à réaliser avant échéance.</w:t>
      </w:r>
    </w:p>
    <w:p w:rsidR="00D60C24" w:rsidRPr="00C222A1" w:rsidRDefault="00D60C24" w:rsidP="00D60C24">
      <w:pPr>
        <w:pStyle w:val="Paragraphedeliste"/>
        <w:numPr>
          <w:ilvl w:val="0"/>
          <w:numId w:val="17"/>
        </w:numPr>
        <w:spacing w:line="360" w:lineRule="auto"/>
        <w:rPr>
          <w:rFonts w:ascii="Constantia" w:hAnsi="Constantia"/>
          <w:b/>
          <w:i/>
          <w:iCs/>
          <w:sz w:val="28"/>
          <w:szCs w:val="28"/>
        </w:rPr>
      </w:pPr>
      <w:r w:rsidRPr="00C222A1">
        <w:rPr>
          <w:rFonts w:ascii="Constantia" w:hAnsi="Constantia"/>
          <w:b/>
          <w:i/>
          <w:iCs/>
          <w:sz w:val="28"/>
          <w:szCs w:val="28"/>
        </w:rPr>
        <w:t>La relance amiable :</w:t>
      </w:r>
    </w:p>
    <w:p w:rsidR="00D60C24" w:rsidRDefault="00D60C24" w:rsidP="00D60C24">
      <w:pPr>
        <w:pStyle w:val="Paragraphedeliste"/>
        <w:numPr>
          <w:ilvl w:val="0"/>
          <w:numId w:val="17"/>
        </w:numPr>
        <w:spacing w:line="360" w:lineRule="auto"/>
        <w:rPr>
          <w:rFonts w:ascii="Constantia" w:hAnsi="Constantia"/>
          <w:bCs/>
          <w:i/>
          <w:iCs/>
          <w:sz w:val="28"/>
          <w:szCs w:val="28"/>
        </w:rPr>
      </w:pPr>
      <w:r w:rsidRPr="00C222A1">
        <w:rPr>
          <w:rFonts w:ascii="Constantia" w:hAnsi="Constantia"/>
          <w:bCs/>
          <w:i/>
          <w:iCs/>
          <w:sz w:val="28"/>
          <w:szCs w:val="28"/>
        </w:rPr>
        <w:t>Identifier les difficultés de paiement.</w:t>
      </w:r>
    </w:p>
    <w:p w:rsidR="00D60C24" w:rsidRPr="00C222A1" w:rsidRDefault="00D60C24" w:rsidP="00D60C24">
      <w:pPr>
        <w:pStyle w:val="Paragraphedeliste"/>
        <w:numPr>
          <w:ilvl w:val="0"/>
          <w:numId w:val="17"/>
        </w:numPr>
        <w:spacing w:line="360" w:lineRule="auto"/>
        <w:rPr>
          <w:rFonts w:ascii="Constantia" w:hAnsi="Constantia"/>
          <w:bCs/>
          <w:i/>
          <w:iCs/>
          <w:sz w:val="28"/>
          <w:szCs w:val="28"/>
        </w:rPr>
      </w:pPr>
      <w:r w:rsidRPr="00C222A1">
        <w:rPr>
          <w:rFonts w:ascii="Constantia" w:hAnsi="Constantia"/>
          <w:bCs/>
          <w:i/>
          <w:iCs/>
          <w:sz w:val="28"/>
          <w:szCs w:val="28"/>
        </w:rPr>
        <w:t>Rester commercial dans son intervention.</w:t>
      </w:r>
    </w:p>
    <w:p w:rsidR="00D60C24" w:rsidRPr="00C222A1" w:rsidRDefault="00D60C24" w:rsidP="00D60C24">
      <w:pPr>
        <w:pStyle w:val="Paragraphedeliste"/>
        <w:numPr>
          <w:ilvl w:val="0"/>
          <w:numId w:val="17"/>
        </w:numPr>
        <w:spacing w:line="360" w:lineRule="auto"/>
        <w:rPr>
          <w:rFonts w:ascii="Constantia" w:hAnsi="Constantia"/>
          <w:bCs/>
          <w:i/>
          <w:iCs/>
          <w:sz w:val="28"/>
          <w:szCs w:val="28"/>
        </w:rPr>
      </w:pPr>
      <w:r w:rsidRPr="00C222A1">
        <w:rPr>
          <w:rFonts w:ascii="Constantia" w:hAnsi="Constantia"/>
          <w:bCs/>
          <w:i/>
          <w:iCs/>
          <w:sz w:val="28"/>
          <w:szCs w:val="28"/>
        </w:rPr>
        <w:t>Modifier les supports de relance pour rendre crédible la relance amiable.</w:t>
      </w:r>
    </w:p>
    <w:p w:rsidR="00D60C24" w:rsidRPr="00C222A1" w:rsidRDefault="00D60C24" w:rsidP="00D60C24">
      <w:pPr>
        <w:pStyle w:val="Paragraphedeliste"/>
        <w:numPr>
          <w:ilvl w:val="0"/>
          <w:numId w:val="17"/>
        </w:numPr>
        <w:spacing w:line="360" w:lineRule="auto"/>
        <w:rPr>
          <w:rFonts w:ascii="Constantia" w:hAnsi="Constantia"/>
          <w:b/>
          <w:bCs/>
          <w:i/>
          <w:iCs/>
          <w:sz w:val="28"/>
          <w:szCs w:val="28"/>
        </w:rPr>
      </w:pPr>
      <w:r w:rsidRPr="00C222A1">
        <w:rPr>
          <w:rFonts w:ascii="Constantia" w:hAnsi="Constantia"/>
          <w:b/>
          <w:bCs/>
          <w:i/>
          <w:iCs/>
          <w:sz w:val="28"/>
          <w:szCs w:val="28"/>
        </w:rPr>
        <w:t>La relance précontentieuse :</w:t>
      </w:r>
    </w:p>
    <w:p w:rsidR="00D60C24" w:rsidRPr="00C222A1" w:rsidRDefault="00D60C24" w:rsidP="00D60C24">
      <w:pPr>
        <w:pStyle w:val="Paragraphedeliste"/>
        <w:numPr>
          <w:ilvl w:val="0"/>
          <w:numId w:val="17"/>
        </w:numPr>
        <w:spacing w:line="360" w:lineRule="auto"/>
        <w:rPr>
          <w:rFonts w:ascii="Constantia" w:hAnsi="Constantia"/>
          <w:i/>
          <w:iCs/>
          <w:sz w:val="28"/>
          <w:szCs w:val="28"/>
        </w:rPr>
      </w:pPr>
      <w:r w:rsidRPr="00C222A1">
        <w:rPr>
          <w:rFonts w:ascii="Constantia" w:hAnsi="Constantia"/>
          <w:i/>
          <w:iCs/>
          <w:sz w:val="28"/>
          <w:szCs w:val="28"/>
        </w:rPr>
        <w:t>Sommations et avertissements par Lettre recommandée avec menace de prise de mesures coercitives.</w:t>
      </w:r>
    </w:p>
    <w:p w:rsidR="00D60C24" w:rsidRPr="00C222A1" w:rsidRDefault="00D60C24" w:rsidP="00D60C24">
      <w:pPr>
        <w:pStyle w:val="Paragraphedeliste"/>
        <w:numPr>
          <w:ilvl w:val="0"/>
          <w:numId w:val="17"/>
        </w:numPr>
        <w:spacing w:line="360" w:lineRule="auto"/>
        <w:rPr>
          <w:rFonts w:ascii="Constantia" w:hAnsi="Constantia"/>
          <w:i/>
          <w:iCs/>
          <w:sz w:val="28"/>
          <w:szCs w:val="28"/>
        </w:rPr>
      </w:pPr>
      <w:r w:rsidRPr="00C222A1">
        <w:rPr>
          <w:rFonts w:ascii="Constantia" w:hAnsi="Constantia"/>
          <w:i/>
          <w:iCs/>
          <w:sz w:val="28"/>
          <w:szCs w:val="28"/>
        </w:rPr>
        <w:t>Menace de transmission des dossiers aux autorités judiciaires par huissier.</w:t>
      </w:r>
    </w:p>
    <w:p w:rsidR="00D60C24" w:rsidRPr="00C222A1" w:rsidRDefault="00D60C24" w:rsidP="00D60C24">
      <w:pPr>
        <w:pStyle w:val="Paragraphedeliste"/>
        <w:numPr>
          <w:ilvl w:val="0"/>
          <w:numId w:val="17"/>
        </w:numPr>
        <w:spacing w:line="360" w:lineRule="auto"/>
        <w:rPr>
          <w:rFonts w:ascii="Constantia" w:hAnsi="Constantia"/>
          <w:i/>
          <w:iCs/>
          <w:sz w:val="28"/>
          <w:szCs w:val="28"/>
        </w:rPr>
      </w:pPr>
      <w:r w:rsidRPr="00C222A1">
        <w:rPr>
          <w:rFonts w:ascii="Constantia" w:hAnsi="Constantia"/>
          <w:i/>
          <w:iCs/>
          <w:sz w:val="28"/>
          <w:szCs w:val="28"/>
        </w:rPr>
        <w:t>Relancer par mise en demeure adressée par huissier de justice.</w:t>
      </w:r>
    </w:p>
    <w:p w:rsidR="00D60C24" w:rsidRPr="00C222A1" w:rsidRDefault="00D60C24" w:rsidP="00D60C24">
      <w:pPr>
        <w:pStyle w:val="Paragraphedeliste"/>
        <w:numPr>
          <w:ilvl w:val="0"/>
          <w:numId w:val="17"/>
        </w:numPr>
        <w:spacing w:line="360" w:lineRule="auto"/>
        <w:rPr>
          <w:rFonts w:ascii="Constantia" w:hAnsi="Constantia"/>
          <w:i/>
          <w:iCs/>
          <w:sz w:val="28"/>
          <w:szCs w:val="28"/>
        </w:rPr>
      </w:pPr>
      <w:r w:rsidRPr="00C222A1">
        <w:rPr>
          <w:rFonts w:ascii="Constantia" w:hAnsi="Constantia"/>
          <w:i/>
          <w:iCs/>
          <w:sz w:val="28"/>
          <w:szCs w:val="28"/>
        </w:rPr>
        <w:t>Visite de la clientèle pour s’enquérir des intentions du débiteur.</w:t>
      </w:r>
    </w:p>
    <w:p w:rsidR="00D60C24" w:rsidRPr="00C222A1" w:rsidRDefault="00D60C24" w:rsidP="00D60C24">
      <w:pPr>
        <w:pStyle w:val="Paragraphedeliste"/>
        <w:numPr>
          <w:ilvl w:val="0"/>
          <w:numId w:val="17"/>
        </w:numPr>
        <w:spacing w:line="360" w:lineRule="auto"/>
        <w:rPr>
          <w:rFonts w:ascii="Constantia" w:hAnsi="Constantia"/>
          <w:b/>
          <w:bCs/>
          <w:i/>
          <w:iCs/>
          <w:sz w:val="28"/>
          <w:szCs w:val="28"/>
        </w:rPr>
      </w:pPr>
      <w:r w:rsidRPr="00C222A1">
        <w:rPr>
          <w:rFonts w:ascii="Constantia" w:hAnsi="Constantia"/>
          <w:b/>
          <w:bCs/>
          <w:i/>
          <w:iCs/>
          <w:sz w:val="28"/>
          <w:szCs w:val="28"/>
        </w:rPr>
        <w:t>L’efficacité du recouvrement passe par la prévention juridique et la gestion des ressources dédiées à ce recouvrement.</w:t>
      </w:r>
    </w:p>
    <w:p w:rsidR="00D60C24" w:rsidRPr="00C222A1" w:rsidRDefault="00D60C24" w:rsidP="00D60C24">
      <w:pPr>
        <w:pStyle w:val="Paragraphedeliste"/>
        <w:numPr>
          <w:ilvl w:val="0"/>
          <w:numId w:val="17"/>
        </w:numPr>
        <w:spacing w:line="360" w:lineRule="auto"/>
        <w:rPr>
          <w:rFonts w:ascii="Constantia" w:hAnsi="Constantia"/>
          <w:i/>
          <w:iCs/>
          <w:sz w:val="28"/>
          <w:szCs w:val="28"/>
        </w:rPr>
      </w:pPr>
      <w:r w:rsidRPr="00C222A1">
        <w:rPr>
          <w:rFonts w:ascii="Constantia" w:hAnsi="Constantia"/>
          <w:i/>
          <w:iCs/>
          <w:sz w:val="28"/>
          <w:szCs w:val="28"/>
        </w:rPr>
        <w:t>Prévoir des documents-types comportant des clauses de nature à dissuader les débiteurs.</w:t>
      </w:r>
    </w:p>
    <w:p w:rsidR="00D60C24" w:rsidRPr="00C222A1" w:rsidRDefault="00D60C24" w:rsidP="00D60C24">
      <w:pPr>
        <w:pStyle w:val="Paragraphedeliste"/>
        <w:numPr>
          <w:ilvl w:val="0"/>
          <w:numId w:val="17"/>
        </w:numPr>
        <w:spacing w:line="360" w:lineRule="auto"/>
        <w:rPr>
          <w:rStyle w:val="lev"/>
          <w:rFonts w:ascii="Constantia" w:hAnsi="Constantia"/>
          <w:i/>
          <w:iCs/>
          <w:color w:val="000000"/>
          <w:sz w:val="28"/>
          <w:szCs w:val="28"/>
        </w:rPr>
      </w:pPr>
      <w:r w:rsidRPr="00C222A1">
        <w:rPr>
          <w:rStyle w:val="lev"/>
          <w:rFonts w:ascii="Constantia" w:hAnsi="Constantia"/>
          <w:i/>
          <w:iCs/>
          <w:color w:val="000000"/>
          <w:sz w:val="28"/>
          <w:szCs w:val="28"/>
        </w:rPr>
        <w:t>Traitement des litiges :</w:t>
      </w:r>
    </w:p>
    <w:p w:rsidR="00D60C24" w:rsidRPr="00C222A1" w:rsidRDefault="00D60C24" w:rsidP="00D60C24">
      <w:pPr>
        <w:pStyle w:val="Paragraphedeliste"/>
        <w:numPr>
          <w:ilvl w:val="0"/>
          <w:numId w:val="17"/>
        </w:numPr>
        <w:spacing w:line="360" w:lineRule="auto"/>
        <w:rPr>
          <w:rStyle w:val="lev"/>
          <w:rFonts w:ascii="Constantia" w:hAnsi="Constantia"/>
          <w:b w:val="0"/>
          <w:bCs w:val="0"/>
          <w:i/>
          <w:iCs/>
          <w:color w:val="000000"/>
          <w:sz w:val="28"/>
          <w:szCs w:val="28"/>
        </w:rPr>
      </w:pPr>
      <w:r w:rsidRPr="00C222A1">
        <w:rPr>
          <w:rStyle w:val="lev"/>
          <w:rFonts w:ascii="Constantia" w:hAnsi="Constantia"/>
          <w:b w:val="0"/>
          <w:bCs w:val="0"/>
          <w:i/>
          <w:iCs/>
          <w:color w:val="000000"/>
          <w:sz w:val="28"/>
          <w:szCs w:val="28"/>
        </w:rPr>
        <w:t>Dans une optique de qualité : fréquence, délai de résolution.</w:t>
      </w:r>
    </w:p>
    <w:p w:rsidR="00D60C24" w:rsidRPr="00C222A1" w:rsidRDefault="00D60C24" w:rsidP="00D60C24">
      <w:pPr>
        <w:pStyle w:val="Paragraphedeliste"/>
        <w:numPr>
          <w:ilvl w:val="0"/>
          <w:numId w:val="17"/>
        </w:numPr>
        <w:spacing w:line="360" w:lineRule="auto"/>
        <w:rPr>
          <w:rStyle w:val="lev"/>
          <w:rFonts w:ascii="Constantia" w:hAnsi="Constantia"/>
          <w:b w:val="0"/>
          <w:bCs w:val="0"/>
          <w:i/>
          <w:iCs/>
          <w:color w:val="000000"/>
          <w:sz w:val="28"/>
          <w:szCs w:val="28"/>
        </w:rPr>
      </w:pPr>
      <w:r w:rsidRPr="00C222A1">
        <w:rPr>
          <w:rStyle w:val="lev"/>
          <w:rFonts w:ascii="Constantia" w:hAnsi="Constantia"/>
          <w:b w:val="0"/>
          <w:bCs w:val="0"/>
          <w:i/>
          <w:iCs/>
          <w:color w:val="000000"/>
          <w:sz w:val="28"/>
          <w:szCs w:val="28"/>
        </w:rPr>
        <w:lastRenderedPageBreak/>
        <w:t>Circulation de l’information entre tous les acteurs : assistance commerciale, ventes, comptabilité, production…..</w:t>
      </w:r>
    </w:p>
    <w:p w:rsidR="00D60C24" w:rsidRPr="00C222A1" w:rsidRDefault="00D60C24" w:rsidP="00D60C24">
      <w:pPr>
        <w:pStyle w:val="Paragraphedeliste"/>
        <w:numPr>
          <w:ilvl w:val="0"/>
          <w:numId w:val="17"/>
        </w:numPr>
        <w:spacing w:line="360" w:lineRule="auto"/>
        <w:rPr>
          <w:rStyle w:val="lev"/>
          <w:rFonts w:ascii="Constantia" w:hAnsi="Constantia"/>
          <w:b w:val="0"/>
          <w:bCs w:val="0"/>
          <w:i/>
          <w:iCs/>
          <w:color w:val="000000"/>
          <w:sz w:val="28"/>
          <w:szCs w:val="28"/>
        </w:rPr>
      </w:pPr>
      <w:r w:rsidRPr="00C222A1">
        <w:rPr>
          <w:rStyle w:val="lev"/>
          <w:rFonts w:ascii="Constantia" w:hAnsi="Constantia"/>
          <w:b w:val="0"/>
          <w:bCs w:val="0"/>
          <w:i/>
          <w:iCs/>
          <w:color w:val="000000"/>
          <w:sz w:val="28"/>
          <w:szCs w:val="28"/>
        </w:rPr>
        <w:t>Privilégier le traitement par application de la loi de Pareto : gros montants, mauvais payeurs, secteurs d’activité à risque.</w:t>
      </w:r>
    </w:p>
    <w:p w:rsidR="00D60C24" w:rsidRPr="00C222A1" w:rsidRDefault="00D60C24" w:rsidP="00D60C24">
      <w:pPr>
        <w:pStyle w:val="Paragraphedeliste"/>
        <w:numPr>
          <w:ilvl w:val="0"/>
          <w:numId w:val="17"/>
        </w:numPr>
        <w:spacing w:line="360" w:lineRule="auto"/>
        <w:rPr>
          <w:rStyle w:val="lev"/>
          <w:rFonts w:ascii="Constantia" w:hAnsi="Constantia"/>
          <w:b w:val="0"/>
          <w:bCs w:val="0"/>
          <w:i/>
          <w:iCs/>
          <w:color w:val="000000"/>
          <w:sz w:val="28"/>
          <w:szCs w:val="28"/>
        </w:rPr>
      </w:pPr>
      <w:r w:rsidRPr="00C222A1">
        <w:rPr>
          <w:rStyle w:val="lev"/>
          <w:rFonts w:ascii="Constantia" w:hAnsi="Constantia"/>
          <w:b w:val="0"/>
          <w:bCs w:val="0"/>
          <w:i/>
          <w:iCs/>
          <w:color w:val="000000"/>
          <w:sz w:val="28"/>
          <w:szCs w:val="28"/>
        </w:rPr>
        <w:t>Privilégier la démarche commerciale : faire signer un accord d’engagement.</w:t>
      </w:r>
    </w:p>
    <w:p w:rsidR="00D60C24" w:rsidRPr="00C222A1" w:rsidRDefault="00D60C24" w:rsidP="00D60C24">
      <w:pPr>
        <w:pStyle w:val="Paragraphedeliste"/>
        <w:numPr>
          <w:ilvl w:val="0"/>
          <w:numId w:val="17"/>
        </w:numPr>
        <w:spacing w:line="360" w:lineRule="auto"/>
        <w:rPr>
          <w:rStyle w:val="lev"/>
          <w:rFonts w:ascii="Constantia" w:hAnsi="Constantia"/>
          <w:b w:val="0"/>
          <w:bCs w:val="0"/>
          <w:i/>
          <w:iCs/>
          <w:color w:val="000000"/>
          <w:sz w:val="28"/>
          <w:szCs w:val="28"/>
        </w:rPr>
      </w:pPr>
      <w:r w:rsidRPr="00C222A1">
        <w:rPr>
          <w:rStyle w:val="lev"/>
          <w:rFonts w:ascii="Constantia" w:hAnsi="Constantia"/>
          <w:i/>
          <w:iCs/>
          <w:color w:val="000000"/>
          <w:sz w:val="28"/>
          <w:szCs w:val="28"/>
        </w:rPr>
        <w:t>Que faire si l’amiable n’a pas suffi ?</w:t>
      </w:r>
    </w:p>
    <w:p w:rsidR="00D60C24" w:rsidRPr="00C222A1" w:rsidRDefault="00D60C24" w:rsidP="00D60C24">
      <w:pPr>
        <w:pStyle w:val="Paragraphedeliste"/>
        <w:numPr>
          <w:ilvl w:val="0"/>
          <w:numId w:val="17"/>
        </w:numPr>
        <w:spacing w:line="360" w:lineRule="auto"/>
        <w:rPr>
          <w:rStyle w:val="lev"/>
          <w:rFonts w:ascii="Constantia" w:hAnsi="Constantia"/>
          <w:b w:val="0"/>
          <w:bCs w:val="0"/>
          <w:i/>
          <w:iCs/>
          <w:color w:val="000000"/>
          <w:sz w:val="28"/>
          <w:szCs w:val="28"/>
        </w:rPr>
      </w:pPr>
      <w:r w:rsidRPr="00C222A1">
        <w:rPr>
          <w:rStyle w:val="lev"/>
          <w:rFonts w:ascii="Constantia" w:hAnsi="Constantia"/>
          <w:b w:val="0"/>
          <w:bCs w:val="0"/>
          <w:i/>
          <w:iCs/>
          <w:color w:val="000000"/>
          <w:sz w:val="28"/>
          <w:szCs w:val="28"/>
        </w:rPr>
        <w:t>Négocier un moratoire : engagement écrit avec délai court.</w:t>
      </w:r>
    </w:p>
    <w:p w:rsidR="00D60C24" w:rsidRPr="00C222A1" w:rsidRDefault="00D60C24" w:rsidP="00D60C24">
      <w:pPr>
        <w:pStyle w:val="Paragraphedeliste"/>
        <w:numPr>
          <w:ilvl w:val="0"/>
          <w:numId w:val="17"/>
        </w:numPr>
        <w:spacing w:line="360" w:lineRule="auto"/>
        <w:rPr>
          <w:rStyle w:val="lev"/>
          <w:rFonts w:ascii="Constantia" w:hAnsi="Constantia"/>
          <w:b w:val="0"/>
          <w:bCs w:val="0"/>
          <w:i/>
          <w:iCs/>
          <w:color w:val="000000"/>
          <w:sz w:val="28"/>
          <w:szCs w:val="28"/>
        </w:rPr>
      </w:pPr>
      <w:r w:rsidRPr="00C222A1">
        <w:rPr>
          <w:rStyle w:val="lev"/>
          <w:rFonts w:ascii="Constantia" w:hAnsi="Constantia"/>
          <w:b w:val="0"/>
          <w:bCs w:val="0"/>
          <w:i/>
          <w:iCs/>
          <w:color w:val="000000"/>
          <w:sz w:val="28"/>
          <w:szCs w:val="28"/>
        </w:rPr>
        <w:t>Entamer une procédure contentieuse : mesures conservatoires.</w:t>
      </w:r>
    </w:p>
    <w:p w:rsidR="00D60C24" w:rsidRPr="00C222A1" w:rsidRDefault="00D60C24" w:rsidP="00D60C24">
      <w:pPr>
        <w:pStyle w:val="Paragraphedeliste"/>
        <w:numPr>
          <w:ilvl w:val="0"/>
          <w:numId w:val="17"/>
        </w:numPr>
        <w:spacing w:line="360" w:lineRule="auto"/>
        <w:rPr>
          <w:rStyle w:val="lev"/>
          <w:rFonts w:ascii="Constantia" w:hAnsi="Constantia"/>
          <w:b w:val="0"/>
          <w:bCs w:val="0"/>
          <w:i/>
          <w:iCs/>
          <w:color w:val="000000"/>
          <w:sz w:val="28"/>
          <w:szCs w:val="28"/>
        </w:rPr>
      </w:pPr>
      <w:r w:rsidRPr="00C222A1">
        <w:rPr>
          <w:rStyle w:val="lev"/>
          <w:rFonts w:ascii="Constantia" w:hAnsi="Constantia"/>
          <w:b w:val="0"/>
          <w:bCs w:val="0"/>
          <w:i/>
          <w:iCs/>
          <w:color w:val="000000"/>
          <w:sz w:val="28"/>
          <w:szCs w:val="28"/>
        </w:rPr>
        <w:t>Opter pour une procédure simple : injonction de paiement.</w:t>
      </w:r>
    </w:p>
    <w:p w:rsidR="00D60C24" w:rsidRPr="00C222A1" w:rsidRDefault="00D60C24" w:rsidP="00D60C24">
      <w:pPr>
        <w:pStyle w:val="Paragraphedeliste"/>
        <w:numPr>
          <w:ilvl w:val="0"/>
          <w:numId w:val="17"/>
        </w:numPr>
        <w:spacing w:line="360" w:lineRule="auto"/>
        <w:rPr>
          <w:rStyle w:val="lev"/>
          <w:rFonts w:ascii="Constantia" w:hAnsi="Constantia"/>
          <w:i/>
          <w:iCs/>
          <w:color w:val="000000"/>
          <w:sz w:val="28"/>
          <w:szCs w:val="28"/>
        </w:rPr>
      </w:pPr>
      <w:r w:rsidRPr="00C222A1">
        <w:rPr>
          <w:rStyle w:val="lev"/>
          <w:rFonts w:ascii="Constantia" w:hAnsi="Constantia"/>
          <w:i/>
          <w:iCs/>
          <w:color w:val="000000"/>
          <w:sz w:val="28"/>
          <w:szCs w:val="28"/>
        </w:rPr>
        <w:t>Dans quels cas faire appel à la sous-traitance ?</w:t>
      </w:r>
    </w:p>
    <w:p w:rsidR="00D60C24" w:rsidRPr="00C222A1" w:rsidRDefault="00D60C24" w:rsidP="00D60C24">
      <w:pPr>
        <w:pStyle w:val="Paragraphedeliste"/>
        <w:numPr>
          <w:ilvl w:val="0"/>
          <w:numId w:val="17"/>
        </w:numPr>
        <w:spacing w:line="360" w:lineRule="auto"/>
        <w:rPr>
          <w:rStyle w:val="lev"/>
          <w:rFonts w:ascii="Constantia" w:hAnsi="Constantia"/>
          <w:b w:val="0"/>
          <w:bCs w:val="0"/>
          <w:i/>
          <w:iCs/>
          <w:color w:val="000000"/>
          <w:sz w:val="28"/>
          <w:szCs w:val="28"/>
        </w:rPr>
      </w:pPr>
      <w:r w:rsidRPr="00C222A1">
        <w:rPr>
          <w:rStyle w:val="lev"/>
          <w:rFonts w:ascii="Constantia" w:hAnsi="Constantia"/>
          <w:b w:val="0"/>
          <w:bCs w:val="0"/>
          <w:i/>
          <w:iCs/>
          <w:color w:val="000000"/>
          <w:sz w:val="28"/>
          <w:szCs w:val="28"/>
        </w:rPr>
        <w:t>Avoir les moyens.</w:t>
      </w:r>
    </w:p>
    <w:p w:rsidR="00D60C24" w:rsidRPr="00C222A1" w:rsidRDefault="00D60C24" w:rsidP="00D60C24">
      <w:pPr>
        <w:pStyle w:val="Paragraphedeliste"/>
        <w:numPr>
          <w:ilvl w:val="0"/>
          <w:numId w:val="17"/>
        </w:numPr>
        <w:spacing w:line="360" w:lineRule="auto"/>
        <w:rPr>
          <w:rStyle w:val="lev"/>
          <w:rFonts w:ascii="Constantia" w:hAnsi="Constantia"/>
          <w:b w:val="0"/>
          <w:bCs w:val="0"/>
          <w:i/>
          <w:iCs/>
          <w:color w:val="000000"/>
          <w:sz w:val="28"/>
          <w:szCs w:val="28"/>
        </w:rPr>
      </w:pPr>
      <w:r w:rsidRPr="00C222A1">
        <w:rPr>
          <w:rStyle w:val="lev"/>
          <w:rFonts w:ascii="Constantia" w:hAnsi="Constantia"/>
          <w:b w:val="0"/>
          <w:bCs w:val="0"/>
          <w:i/>
          <w:iCs/>
          <w:color w:val="000000"/>
          <w:sz w:val="28"/>
          <w:szCs w:val="28"/>
        </w:rPr>
        <w:t>Est-ce pertinent pour l’avenir de l’Entreprise ?</w:t>
      </w:r>
    </w:p>
    <w:p w:rsidR="00D60C24" w:rsidRPr="00C222A1" w:rsidRDefault="00D60C24" w:rsidP="00D60C24">
      <w:pPr>
        <w:pStyle w:val="Paragraphedeliste"/>
        <w:spacing w:line="360" w:lineRule="auto"/>
        <w:ind w:left="0"/>
        <w:rPr>
          <w:rStyle w:val="lev"/>
          <w:rFonts w:ascii="Constantia" w:hAnsi="Constantia"/>
          <w:b w:val="0"/>
          <w:bCs w:val="0"/>
          <w:i/>
          <w:iCs/>
          <w:color w:val="000000"/>
          <w:sz w:val="28"/>
          <w:szCs w:val="28"/>
        </w:rPr>
      </w:pPr>
    </w:p>
    <w:p w:rsidR="00D60C24" w:rsidRPr="00C222A1" w:rsidRDefault="00D60C24" w:rsidP="00D60C24">
      <w:pPr>
        <w:pStyle w:val="Paragraphedeliste"/>
        <w:numPr>
          <w:ilvl w:val="0"/>
          <w:numId w:val="17"/>
        </w:numPr>
        <w:spacing w:line="360" w:lineRule="auto"/>
        <w:rPr>
          <w:rStyle w:val="lev"/>
          <w:rFonts w:ascii="Constantia" w:hAnsi="Constantia"/>
          <w:b w:val="0"/>
          <w:bCs w:val="0"/>
          <w:i/>
          <w:iCs/>
          <w:color w:val="000000"/>
          <w:sz w:val="28"/>
          <w:szCs w:val="28"/>
        </w:rPr>
      </w:pPr>
      <w:r w:rsidRPr="00C222A1">
        <w:rPr>
          <w:rStyle w:val="lev"/>
          <w:rFonts w:ascii="Constantia" w:hAnsi="Constantia"/>
          <w:b w:val="0"/>
          <w:bCs w:val="0"/>
          <w:i/>
          <w:iCs/>
          <w:color w:val="000000"/>
          <w:sz w:val="28"/>
          <w:szCs w:val="28"/>
        </w:rPr>
        <w:t>Comparer le coût et l’efficacité de la sous-traitance par rapport aux valeurs internes.</w:t>
      </w:r>
    </w:p>
    <w:p w:rsidR="00D60C24" w:rsidRPr="00C222A1" w:rsidRDefault="00D60C24" w:rsidP="00D60C24">
      <w:pPr>
        <w:pStyle w:val="Paragraphedeliste"/>
        <w:numPr>
          <w:ilvl w:val="0"/>
          <w:numId w:val="17"/>
        </w:numPr>
        <w:spacing w:line="360" w:lineRule="auto"/>
        <w:rPr>
          <w:rStyle w:val="lev"/>
          <w:rFonts w:ascii="Constantia" w:hAnsi="Constantia"/>
          <w:b w:val="0"/>
          <w:bCs w:val="0"/>
          <w:i/>
          <w:iCs/>
          <w:color w:val="000000"/>
          <w:sz w:val="28"/>
          <w:szCs w:val="28"/>
        </w:rPr>
      </w:pPr>
      <w:r w:rsidRPr="00C222A1">
        <w:rPr>
          <w:rStyle w:val="lev"/>
          <w:rFonts w:ascii="Constantia" w:hAnsi="Constantia"/>
          <w:b w:val="0"/>
          <w:bCs w:val="0"/>
          <w:i/>
          <w:iCs/>
          <w:color w:val="000000"/>
          <w:sz w:val="28"/>
          <w:szCs w:val="28"/>
        </w:rPr>
        <w:t>Choisir les créances à sous-traiter : type de client, profil du payeur, nature de la créance.</w:t>
      </w:r>
    </w:p>
    <w:p w:rsidR="00B92C1B" w:rsidRPr="00B92C1B" w:rsidRDefault="00D60C24" w:rsidP="00D60C24">
      <w:pPr>
        <w:rPr>
          <w:rFonts w:asciiTheme="majorHAnsi" w:hAnsiTheme="majorHAnsi"/>
          <w:sz w:val="24"/>
          <w:szCs w:val="24"/>
        </w:rPr>
      </w:pPr>
      <w:r w:rsidRPr="00C222A1">
        <w:rPr>
          <w:rStyle w:val="lev"/>
          <w:rFonts w:ascii="Constantia" w:hAnsi="Constantia"/>
          <w:b w:val="0"/>
          <w:bCs w:val="0"/>
          <w:i/>
          <w:iCs/>
          <w:color w:val="000000"/>
          <w:sz w:val="28"/>
          <w:szCs w:val="28"/>
        </w:rPr>
        <w:t>Procédures d'exécution des décisions de justice rendues en matière de recouvrement</w:t>
      </w:r>
    </w:p>
    <w:sectPr w:rsidR="00B92C1B" w:rsidRPr="00B92C1B" w:rsidSect="00E62D87">
      <w:footerReference w:type="default" r:id="rId11"/>
      <w:pgSz w:w="11906" w:h="16838"/>
      <w:pgMar w:top="567" w:right="1134" w:bottom="709" w:left="1134" w:header="709" w:footer="1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674" w:rsidRDefault="00922674" w:rsidP="00DC4419">
      <w:pPr>
        <w:spacing w:after="0" w:line="240" w:lineRule="auto"/>
      </w:pPr>
      <w:r>
        <w:separator/>
      </w:r>
    </w:p>
  </w:endnote>
  <w:endnote w:type="continuationSeparator" w:id="1">
    <w:p w:rsidR="00922674" w:rsidRDefault="00922674" w:rsidP="00DC4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ypatiaSansPro-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419" w:rsidRPr="00DC4419" w:rsidRDefault="00DC4419" w:rsidP="00DC4419">
    <w:pPr>
      <w:tabs>
        <w:tab w:val="center" w:pos="4176"/>
        <w:tab w:val="left" w:pos="6570"/>
      </w:tabs>
      <w:spacing w:line="240" w:lineRule="auto"/>
      <w:ind w:left="-720"/>
      <w:rPr>
        <w:lang w:val="en-US"/>
      </w:rPr>
    </w:pPr>
    <w:r>
      <w:rPr>
        <w:rFonts w:ascii="Cambria" w:hAnsi="Cambria" w:cs="Arial"/>
        <w:b/>
        <w:bCs/>
        <w:iCs/>
        <w:lang w:val="pt-PT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674" w:rsidRDefault="00922674" w:rsidP="00DC4419">
      <w:pPr>
        <w:spacing w:after="0" w:line="240" w:lineRule="auto"/>
      </w:pPr>
      <w:r>
        <w:separator/>
      </w:r>
    </w:p>
  </w:footnote>
  <w:footnote w:type="continuationSeparator" w:id="1">
    <w:p w:rsidR="00922674" w:rsidRDefault="00922674" w:rsidP="00DC44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257BB"/>
    <w:multiLevelType w:val="hybridMultilevel"/>
    <w:tmpl w:val="0858842A"/>
    <w:lvl w:ilvl="0" w:tplc="CDEA394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577CE"/>
    <w:multiLevelType w:val="hybridMultilevel"/>
    <w:tmpl w:val="EFC857C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72D6E"/>
    <w:multiLevelType w:val="hybridMultilevel"/>
    <w:tmpl w:val="684A629C"/>
    <w:lvl w:ilvl="0" w:tplc="06D8E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20F5B"/>
    <w:multiLevelType w:val="hybridMultilevel"/>
    <w:tmpl w:val="B442DC70"/>
    <w:lvl w:ilvl="0" w:tplc="97C014D4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9707D6"/>
    <w:multiLevelType w:val="hybridMultilevel"/>
    <w:tmpl w:val="83B065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CE352E"/>
    <w:multiLevelType w:val="hybridMultilevel"/>
    <w:tmpl w:val="1D049EA8"/>
    <w:lvl w:ilvl="0" w:tplc="5B16D190">
      <w:numFmt w:val="bullet"/>
      <w:lvlText w:val="-"/>
      <w:lvlJc w:val="left"/>
      <w:pPr>
        <w:ind w:left="1461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</w:abstractNum>
  <w:abstractNum w:abstractNumId="6">
    <w:nsid w:val="25E2170C"/>
    <w:multiLevelType w:val="hybridMultilevel"/>
    <w:tmpl w:val="9CFE61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651D30"/>
    <w:multiLevelType w:val="hybridMultilevel"/>
    <w:tmpl w:val="D5245A7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16409E"/>
    <w:multiLevelType w:val="hybridMultilevel"/>
    <w:tmpl w:val="5C06CEDE"/>
    <w:lvl w:ilvl="0" w:tplc="97C014D4">
      <w:start w:val="1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09716D1"/>
    <w:multiLevelType w:val="hybridMultilevel"/>
    <w:tmpl w:val="03D4216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B26869"/>
    <w:multiLevelType w:val="hybridMultilevel"/>
    <w:tmpl w:val="A6162D5C"/>
    <w:lvl w:ilvl="0" w:tplc="040C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2856" w:hanging="360"/>
      </w:pPr>
    </w:lvl>
    <w:lvl w:ilvl="2" w:tplc="040C001B" w:tentative="1">
      <w:start w:val="1"/>
      <w:numFmt w:val="lowerRoman"/>
      <w:lvlText w:val="%3."/>
      <w:lvlJc w:val="right"/>
      <w:pPr>
        <w:ind w:left="3576" w:hanging="180"/>
      </w:pPr>
    </w:lvl>
    <w:lvl w:ilvl="3" w:tplc="040C000F" w:tentative="1">
      <w:start w:val="1"/>
      <w:numFmt w:val="decimal"/>
      <w:lvlText w:val="%4."/>
      <w:lvlJc w:val="left"/>
      <w:pPr>
        <w:ind w:left="4296" w:hanging="360"/>
      </w:pPr>
    </w:lvl>
    <w:lvl w:ilvl="4" w:tplc="040C0019" w:tentative="1">
      <w:start w:val="1"/>
      <w:numFmt w:val="lowerLetter"/>
      <w:lvlText w:val="%5."/>
      <w:lvlJc w:val="left"/>
      <w:pPr>
        <w:ind w:left="5016" w:hanging="360"/>
      </w:pPr>
    </w:lvl>
    <w:lvl w:ilvl="5" w:tplc="040C001B" w:tentative="1">
      <w:start w:val="1"/>
      <w:numFmt w:val="lowerRoman"/>
      <w:lvlText w:val="%6."/>
      <w:lvlJc w:val="right"/>
      <w:pPr>
        <w:ind w:left="5736" w:hanging="180"/>
      </w:pPr>
    </w:lvl>
    <w:lvl w:ilvl="6" w:tplc="040C000F" w:tentative="1">
      <w:start w:val="1"/>
      <w:numFmt w:val="decimal"/>
      <w:lvlText w:val="%7."/>
      <w:lvlJc w:val="left"/>
      <w:pPr>
        <w:ind w:left="6456" w:hanging="360"/>
      </w:pPr>
    </w:lvl>
    <w:lvl w:ilvl="7" w:tplc="040C0019" w:tentative="1">
      <w:start w:val="1"/>
      <w:numFmt w:val="lowerLetter"/>
      <w:lvlText w:val="%8."/>
      <w:lvlJc w:val="left"/>
      <w:pPr>
        <w:ind w:left="7176" w:hanging="360"/>
      </w:pPr>
    </w:lvl>
    <w:lvl w:ilvl="8" w:tplc="040C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1">
    <w:nsid w:val="54AA544D"/>
    <w:multiLevelType w:val="hybridMultilevel"/>
    <w:tmpl w:val="CC2AE816"/>
    <w:lvl w:ilvl="0" w:tplc="040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F35554"/>
    <w:multiLevelType w:val="hybridMultilevel"/>
    <w:tmpl w:val="6A90B5A0"/>
    <w:lvl w:ilvl="0" w:tplc="040C000D">
      <w:start w:val="1"/>
      <w:numFmt w:val="bullet"/>
      <w:lvlText w:val=""/>
      <w:lvlJc w:val="left"/>
      <w:pPr>
        <w:ind w:left="28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3">
    <w:nsid w:val="5F2020C5"/>
    <w:multiLevelType w:val="hybridMultilevel"/>
    <w:tmpl w:val="C62865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C1292D"/>
    <w:multiLevelType w:val="hybridMultilevel"/>
    <w:tmpl w:val="9D5EA642"/>
    <w:lvl w:ilvl="0" w:tplc="040C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5">
    <w:nsid w:val="6C2A4C7D"/>
    <w:multiLevelType w:val="hybridMultilevel"/>
    <w:tmpl w:val="5EDC9322"/>
    <w:lvl w:ilvl="0" w:tplc="040C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6">
    <w:nsid w:val="7ABD08E1"/>
    <w:multiLevelType w:val="hybridMultilevel"/>
    <w:tmpl w:val="C2A2448C"/>
    <w:lvl w:ilvl="0" w:tplc="97C014D4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97C014D4">
      <w:start w:val="1"/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"/>
  </w:num>
  <w:num w:numId="5">
    <w:abstractNumId w:val="4"/>
  </w:num>
  <w:num w:numId="6">
    <w:abstractNumId w:val="13"/>
  </w:num>
  <w:num w:numId="7">
    <w:abstractNumId w:val="14"/>
  </w:num>
  <w:num w:numId="8">
    <w:abstractNumId w:val="10"/>
  </w:num>
  <w:num w:numId="9">
    <w:abstractNumId w:val="5"/>
  </w:num>
  <w:num w:numId="10">
    <w:abstractNumId w:val="9"/>
  </w:num>
  <w:num w:numId="11">
    <w:abstractNumId w:val="7"/>
  </w:num>
  <w:num w:numId="12">
    <w:abstractNumId w:val="3"/>
  </w:num>
  <w:num w:numId="13">
    <w:abstractNumId w:val="16"/>
  </w:num>
  <w:num w:numId="14">
    <w:abstractNumId w:val="12"/>
  </w:num>
  <w:num w:numId="15">
    <w:abstractNumId w:val="11"/>
  </w:num>
  <w:num w:numId="16">
    <w:abstractNumId w:val="15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35F86"/>
    <w:rsid w:val="0002684A"/>
    <w:rsid w:val="00026D72"/>
    <w:rsid w:val="0004038C"/>
    <w:rsid w:val="000623B5"/>
    <w:rsid w:val="00066C42"/>
    <w:rsid w:val="000704AB"/>
    <w:rsid w:val="00072A33"/>
    <w:rsid w:val="00086D78"/>
    <w:rsid w:val="00095F6F"/>
    <w:rsid w:val="000D40DC"/>
    <w:rsid w:val="000E7FC4"/>
    <w:rsid w:val="000F64C2"/>
    <w:rsid w:val="00114209"/>
    <w:rsid w:val="0014462C"/>
    <w:rsid w:val="00147FF1"/>
    <w:rsid w:val="00192203"/>
    <w:rsid w:val="00195A85"/>
    <w:rsid w:val="001A0622"/>
    <w:rsid w:val="001C459B"/>
    <w:rsid w:val="001D3F6F"/>
    <w:rsid w:val="001E19A1"/>
    <w:rsid w:val="001E1DBD"/>
    <w:rsid w:val="001E357D"/>
    <w:rsid w:val="002135BD"/>
    <w:rsid w:val="002218A2"/>
    <w:rsid w:val="002241E5"/>
    <w:rsid w:val="00230DE1"/>
    <w:rsid w:val="00263FFE"/>
    <w:rsid w:val="00265626"/>
    <w:rsid w:val="00274222"/>
    <w:rsid w:val="00282459"/>
    <w:rsid w:val="00284E84"/>
    <w:rsid w:val="002A25A0"/>
    <w:rsid w:val="002B6064"/>
    <w:rsid w:val="002C26F4"/>
    <w:rsid w:val="002D7D19"/>
    <w:rsid w:val="002F4F25"/>
    <w:rsid w:val="00302D6A"/>
    <w:rsid w:val="003131F2"/>
    <w:rsid w:val="0033228A"/>
    <w:rsid w:val="003436C9"/>
    <w:rsid w:val="00356BFD"/>
    <w:rsid w:val="00374D9A"/>
    <w:rsid w:val="0038658F"/>
    <w:rsid w:val="00396ED0"/>
    <w:rsid w:val="003B0ECF"/>
    <w:rsid w:val="003B537C"/>
    <w:rsid w:val="003C268F"/>
    <w:rsid w:val="003C4CF6"/>
    <w:rsid w:val="003D41AD"/>
    <w:rsid w:val="003D56E4"/>
    <w:rsid w:val="003F51F9"/>
    <w:rsid w:val="003F64E0"/>
    <w:rsid w:val="004305E8"/>
    <w:rsid w:val="00432540"/>
    <w:rsid w:val="00452C5D"/>
    <w:rsid w:val="00472617"/>
    <w:rsid w:val="00476A4B"/>
    <w:rsid w:val="004778F8"/>
    <w:rsid w:val="0048263B"/>
    <w:rsid w:val="00487145"/>
    <w:rsid w:val="004951EE"/>
    <w:rsid w:val="004E1C4C"/>
    <w:rsid w:val="004E1EDB"/>
    <w:rsid w:val="004E5072"/>
    <w:rsid w:val="00516E9D"/>
    <w:rsid w:val="00523077"/>
    <w:rsid w:val="00560977"/>
    <w:rsid w:val="00561F27"/>
    <w:rsid w:val="00572B5D"/>
    <w:rsid w:val="005A1BFA"/>
    <w:rsid w:val="005A7493"/>
    <w:rsid w:val="005B77FE"/>
    <w:rsid w:val="00632D83"/>
    <w:rsid w:val="00635F86"/>
    <w:rsid w:val="00651214"/>
    <w:rsid w:val="00657B0E"/>
    <w:rsid w:val="00657DF1"/>
    <w:rsid w:val="006849C1"/>
    <w:rsid w:val="00695E44"/>
    <w:rsid w:val="006B2B74"/>
    <w:rsid w:val="006C189A"/>
    <w:rsid w:val="006C1B26"/>
    <w:rsid w:val="006D2219"/>
    <w:rsid w:val="006E5B43"/>
    <w:rsid w:val="006F79F3"/>
    <w:rsid w:val="007022DE"/>
    <w:rsid w:val="00751309"/>
    <w:rsid w:val="007528F4"/>
    <w:rsid w:val="00754DA6"/>
    <w:rsid w:val="007751A1"/>
    <w:rsid w:val="00780F54"/>
    <w:rsid w:val="00783C60"/>
    <w:rsid w:val="00792499"/>
    <w:rsid w:val="00792DE2"/>
    <w:rsid w:val="007A1D8B"/>
    <w:rsid w:val="007C64AC"/>
    <w:rsid w:val="007F017A"/>
    <w:rsid w:val="007F2A45"/>
    <w:rsid w:val="00801132"/>
    <w:rsid w:val="00810581"/>
    <w:rsid w:val="0081727D"/>
    <w:rsid w:val="008304D5"/>
    <w:rsid w:val="0086535A"/>
    <w:rsid w:val="008917A0"/>
    <w:rsid w:val="008C7277"/>
    <w:rsid w:val="009035C0"/>
    <w:rsid w:val="00904170"/>
    <w:rsid w:val="00920338"/>
    <w:rsid w:val="00922674"/>
    <w:rsid w:val="00952C6B"/>
    <w:rsid w:val="00986084"/>
    <w:rsid w:val="009A0187"/>
    <w:rsid w:val="009A47CA"/>
    <w:rsid w:val="009C5513"/>
    <w:rsid w:val="009C65DE"/>
    <w:rsid w:val="009C6EF9"/>
    <w:rsid w:val="009F3D16"/>
    <w:rsid w:val="00A0404C"/>
    <w:rsid w:val="00A25E10"/>
    <w:rsid w:val="00A2791E"/>
    <w:rsid w:val="00A33BD0"/>
    <w:rsid w:val="00A449F4"/>
    <w:rsid w:val="00A54982"/>
    <w:rsid w:val="00A556B7"/>
    <w:rsid w:val="00A56576"/>
    <w:rsid w:val="00A75AE4"/>
    <w:rsid w:val="00A96EE1"/>
    <w:rsid w:val="00AA4266"/>
    <w:rsid w:val="00AB41E9"/>
    <w:rsid w:val="00AC2E8F"/>
    <w:rsid w:val="00AD3700"/>
    <w:rsid w:val="00B06534"/>
    <w:rsid w:val="00B446DA"/>
    <w:rsid w:val="00B74252"/>
    <w:rsid w:val="00B832BA"/>
    <w:rsid w:val="00B92C1B"/>
    <w:rsid w:val="00BA65DF"/>
    <w:rsid w:val="00BC10F2"/>
    <w:rsid w:val="00BC1B0C"/>
    <w:rsid w:val="00BD148E"/>
    <w:rsid w:val="00BD4002"/>
    <w:rsid w:val="00BE43FC"/>
    <w:rsid w:val="00BE49C4"/>
    <w:rsid w:val="00C04939"/>
    <w:rsid w:val="00C166A5"/>
    <w:rsid w:val="00C235FB"/>
    <w:rsid w:val="00C2544F"/>
    <w:rsid w:val="00C27016"/>
    <w:rsid w:val="00C31501"/>
    <w:rsid w:val="00C446C0"/>
    <w:rsid w:val="00C7313F"/>
    <w:rsid w:val="00C84E77"/>
    <w:rsid w:val="00C97746"/>
    <w:rsid w:val="00CA5663"/>
    <w:rsid w:val="00CB5F89"/>
    <w:rsid w:val="00CC1E56"/>
    <w:rsid w:val="00CC1F21"/>
    <w:rsid w:val="00CE15B6"/>
    <w:rsid w:val="00CE1A32"/>
    <w:rsid w:val="00CE3729"/>
    <w:rsid w:val="00D00AB4"/>
    <w:rsid w:val="00D01B04"/>
    <w:rsid w:val="00D076D8"/>
    <w:rsid w:val="00D216A5"/>
    <w:rsid w:val="00D243AE"/>
    <w:rsid w:val="00D42560"/>
    <w:rsid w:val="00D60C24"/>
    <w:rsid w:val="00D71F4D"/>
    <w:rsid w:val="00D85B2C"/>
    <w:rsid w:val="00D95D70"/>
    <w:rsid w:val="00DA2137"/>
    <w:rsid w:val="00DA6F8B"/>
    <w:rsid w:val="00DB1B91"/>
    <w:rsid w:val="00DC22F6"/>
    <w:rsid w:val="00DC4419"/>
    <w:rsid w:val="00E62D87"/>
    <w:rsid w:val="00EB706C"/>
    <w:rsid w:val="00ED0B1C"/>
    <w:rsid w:val="00ED2FC9"/>
    <w:rsid w:val="00F124A4"/>
    <w:rsid w:val="00F230DD"/>
    <w:rsid w:val="00F25FA6"/>
    <w:rsid w:val="00F329C1"/>
    <w:rsid w:val="00F51086"/>
    <w:rsid w:val="00F51CC9"/>
    <w:rsid w:val="00F70CE3"/>
    <w:rsid w:val="00F75045"/>
    <w:rsid w:val="00FC1BFB"/>
    <w:rsid w:val="00FD7AF8"/>
    <w:rsid w:val="00FE68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338"/>
  </w:style>
  <w:style w:type="paragraph" w:styleId="Titre1">
    <w:name w:val="heading 1"/>
    <w:basedOn w:val="Normal"/>
    <w:next w:val="Normal"/>
    <w:link w:val="Titre1Car"/>
    <w:uiPriority w:val="99"/>
    <w:qFormat/>
    <w:rsid w:val="00F329C1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 w:val="96"/>
      <w:szCs w:val="9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F329C1"/>
    <w:rPr>
      <w:rFonts w:ascii="Arial" w:eastAsia="Times New Roman" w:hAnsi="Arial" w:cs="Arial"/>
      <w:b/>
      <w:bCs/>
      <w:sz w:val="96"/>
      <w:szCs w:val="96"/>
    </w:rPr>
  </w:style>
  <w:style w:type="paragraph" w:styleId="Paragraphedeliste">
    <w:name w:val="List Paragraph"/>
    <w:basedOn w:val="Normal"/>
    <w:uiPriority w:val="34"/>
    <w:qFormat/>
    <w:rsid w:val="00F329C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DC4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C4419"/>
  </w:style>
  <w:style w:type="paragraph" w:styleId="Pieddepage">
    <w:name w:val="footer"/>
    <w:basedOn w:val="Normal"/>
    <w:link w:val="PieddepageCar"/>
    <w:uiPriority w:val="99"/>
    <w:unhideWhenUsed/>
    <w:rsid w:val="00DC4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C4419"/>
  </w:style>
  <w:style w:type="character" w:styleId="Lienhypertexte">
    <w:name w:val="Hyperlink"/>
    <w:basedOn w:val="Policepardfaut"/>
    <w:rsid w:val="00DC4419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52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2C6B"/>
    <w:rPr>
      <w:rFonts w:ascii="Tahoma" w:hAnsi="Tahoma" w:cs="Tahoma"/>
      <w:sz w:val="16"/>
      <w:szCs w:val="16"/>
    </w:rPr>
  </w:style>
  <w:style w:type="paragraph" w:customStyle="1" w:styleId="Pa1">
    <w:name w:val="Pa1"/>
    <w:basedOn w:val="Normal"/>
    <w:next w:val="Normal"/>
    <w:uiPriority w:val="99"/>
    <w:rsid w:val="00AA4266"/>
    <w:pPr>
      <w:autoSpaceDE w:val="0"/>
      <w:autoSpaceDN w:val="0"/>
      <w:adjustRightInd w:val="0"/>
      <w:spacing w:after="0" w:line="241" w:lineRule="atLeast"/>
    </w:pPr>
    <w:rPr>
      <w:rFonts w:ascii="Garamond" w:hAnsi="Garamond"/>
      <w:sz w:val="24"/>
      <w:szCs w:val="24"/>
    </w:rPr>
  </w:style>
  <w:style w:type="character" w:styleId="lev">
    <w:name w:val="Strong"/>
    <w:uiPriority w:val="22"/>
    <w:qFormat/>
    <w:rsid w:val="00D60C2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720742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gfa.d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tact@gfa.dz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D4395-EF1B-4584-BEED-B13E12F18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DELLNBX</Company>
  <LinksUpToDate>false</LinksUpToDate>
  <CharactersWithSpaces>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Nawel KAOUS</dc:creator>
  <cp:lastModifiedBy>naima</cp:lastModifiedBy>
  <cp:revision>2</cp:revision>
  <cp:lastPrinted>2016-11-13T09:05:00Z</cp:lastPrinted>
  <dcterms:created xsi:type="dcterms:W3CDTF">2018-11-13T13:48:00Z</dcterms:created>
  <dcterms:modified xsi:type="dcterms:W3CDTF">2018-11-13T13:48:00Z</dcterms:modified>
</cp:coreProperties>
</file>